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F44934">
        <w:rPr>
          <w:b/>
          <w:sz w:val="24"/>
          <w:szCs w:val="24"/>
        </w:rPr>
        <w:t>2</w:t>
      </w: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293C8B">
        <w:rPr>
          <w:rFonts w:ascii="Times New Roman" w:hAnsi="Times New Roman" w:cs="Times New Roman"/>
          <w:bCs/>
          <w:sz w:val="24"/>
          <w:szCs w:val="24"/>
        </w:rPr>
        <w:t>04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2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93C8B">
        <w:rPr>
          <w:rFonts w:ascii="Times New Roman" w:eastAsia="Times New Roman" w:hAnsi="Times New Roman" w:cs="Times New Roman"/>
          <w:sz w:val="24"/>
          <w:szCs w:val="24"/>
        </w:rPr>
        <w:t>изделий медицинского назначения (пробирки вакуумные, иглы двусторонние)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 медицинского назначения (пробирки вакуумные, иглы двусторонние)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9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изделий 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246 899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сорок шесть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 девяносто девять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246 899 </w:t>
            </w:r>
            <w:r w:rsidR="00293C8B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сорок шесть тысяч восемьсот девяносто девять) рублей 50 копеек</w:t>
            </w:r>
            <w:r w:rsidR="00293C8B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13AF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478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B319F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C5DC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2022-01-10T06:11:00Z</dcterms:created>
  <dcterms:modified xsi:type="dcterms:W3CDTF">2022-01-10T06:16:00Z</dcterms:modified>
</cp:coreProperties>
</file>