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A97C2D">
        <w:t>010</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A97C2D">
        <w:t>питательных сред для лабораторных анализов в бактериологическом отделе лаборатории</w:t>
      </w:r>
      <w:r w:rsidR="00A97C2D" w:rsidRPr="00883C56">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A97C2D" w:rsidRDefault="00883C56" w:rsidP="00883C56">
      <w:pPr>
        <w:ind w:firstLine="709"/>
        <w:contextualSpacing/>
        <w:jc w:val="both"/>
      </w:pPr>
      <w:r w:rsidRPr="00883C56">
        <w:rPr>
          <w:lang w:val="en-US"/>
        </w:rPr>
        <w:t>E</w:t>
      </w:r>
      <w:r w:rsidRPr="00A97C2D">
        <w:t>-</w:t>
      </w:r>
      <w:r w:rsidRPr="00883C56">
        <w:rPr>
          <w:lang w:val="en-US"/>
        </w:rPr>
        <w:t>mail</w:t>
      </w:r>
      <w:r w:rsidRPr="00A97C2D">
        <w:t>:</w:t>
      </w:r>
      <w:r w:rsidRPr="00A97C2D">
        <w:rPr>
          <w:bCs/>
        </w:rPr>
        <w:t xml:space="preserve"> </w:t>
      </w:r>
      <w:hyperlink r:id="rId9" w:history="1">
        <w:r w:rsidRPr="00883C56">
          <w:rPr>
            <w:color w:val="000000"/>
            <w:kern w:val="1"/>
            <w:lang w:val="en-US"/>
          </w:rPr>
          <w:t>nvsb</w:t>
        </w:r>
        <w:r w:rsidRPr="00A97C2D">
          <w:rPr>
            <w:color w:val="000000"/>
            <w:kern w:val="1"/>
          </w:rPr>
          <w:t>5@</w:t>
        </w:r>
        <w:r w:rsidRPr="00883C56">
          <w:rPr>
            <w:color w:val="000000"/>
            <w:kern w:val="1"/>
            <w:lang w:val="en-US"/>
          </w:rPr>
          <w:t>mail</w:t>
        </w:r>
        <w:r w:rsidRPr="00A97C2D">
          <w:rPr>
            <w:color w:val="000000"/>
            <w:kern w:val="1"/>
          </w:rPr>
          <w:t>.</w:t>
        </w:r>
        <w:r w:rsidRPr="00883C56">
          <w:rPr>
            <w:color w:val="000000"/>
            <w:kern w:val="1"/>
            <w:lang w:val="en-US"/>
          </w:rPr>
          <w:t>ru</w:t>
        </w:r>
      </w:hyperlink>
      <w:r w:rsidRPr="00A97C2D">
        <w:rPr>
          <w:bCs/>
        </w:rPr>
        <w:t xml:space="preserve">, </w:t>
      </w:r>
      <w:r w:rsidRPr="00883C56">
        <w:t>тел</w:t>
      </w:r>
      <w:r w:rsidRPr="00A97C2D">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83C56" w:rsidRPr="00883C56" w:rsidRDefault="00883C56" w:rsidP="00883C56">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Start w:id="2" w:name="_Hlk68508800"/>
      <w:r w:rsidR="00A97C2D">
        <w:t xml:space="preserve">питательных сред для лабораторных анализов </w:t>
      </w:r>
      <w:bookmarkEnd w:id="2"/>
      <w:r w:rsidR="00A97C2D">
        <w:t>в бактериологическом отделе лаборатории</w:t>
      </w:r>
      <w:r w:rsidR="009C7BFC">
        <w:t>.</w:t>
      </w:r>
    </w:p>
    <w:bookmarkEnd w:id="1"/>
    <w:p w:rsidR="008D6BD8" w:rsidRPr="00883C56" w:rsidRDefault="008D6BD8"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w:t>
      </w:r>
      <w:r w:rsidR="009C7BFC">
        <w:t xml:space="preserve"> </w:t>
      </w:r>
      <w:r w:rsidR="00A97C2D">
        <w:t>питательные среды для лабораторных анализов в количестве, указанном в техническом задании.</w:t>
      </w:r>
      <w:r w:rsidR="00883C56">
        <w:t xml:space="preserve"> </w:t>
      </w:r>
    </w:p>
    <w:p w:rsidR="00A97C2D" w:rsidRPr="00A97C2D" w:rsidRDefault="00883C56" w:rsidP="00A97C2D">
      <w:pPr>
        <w:jc w:val="both"/>
        <w:rPr>
          <w:rFonts w:eastAsiaTheme="minorEastAsia"/>
        </w:rPr>
      </w:pPr>
      <w:r w:rsidRPr="00883C56">
        <w:rPr>
          <w:rFonts w:eastAsiaTheme="minorEastAsia"/>
        </w:rPr>
        <w:t>Начальная максимальная цена договора –</w:t>
      </w:r>
      <w:r w:rsidR="00A97C2D" w:rsidRPr="00A97C2D">
        <w:rPr>
          <w:rFonts w:eastAsiaTheme="minorEastAsia"/>
          <w:b/>
          <w:bCs/>
        </w:rPr>
        <w:t xml:space="preserve">263 340 рублей (Двести шестьдесят три тысячи триста сорок) рублей 31 копеек </w:t>
      </w:r>
      <w:r w:rsidR="00A97C2D" w:rsidRPr="00A97C2D">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неприостановление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4A7484" w:rsidRDefault="006B404B" w:rsidP="006B404B">
      <w:pPr>
        <w:pStyle w:val="aff2"/>
        <w:numPr>
          <w:ilvl w:val="0"/>
          <w:numId w:val="5"/>
        </w:numPr>
        <w:ind w:left="426"/>
        <w:jc w:val="both"/>
        <w:rPr>
          <w:sz w:val="22"/>
          <w:szCs w:val="22"/>
        </w:rPr>
      </w:pPr>
      <w:r w:rsidRPr="004A7484">
        <w:rPr>
          <w:b/>
          <w:bCs/>
          <w:sz w:val="22"/>
          <w:szCs w:val="22"/>
        </w:rPr>
        <w:lastRenderedPageBreak/>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A97C2D" w:rsidRPr="00A97C2D" w:rsidRDefault="006B404B" w:rsidP="00A97C2D">
      <w:pPr>
        <w:pStyle w:val="aff2"/>
        <w:numPr>
          <w:ilvl w:val="0"/>
          <w:numId w:val="5"/>
        </w:numPr>
        <w:ind w:left="426"/>
        <w:jc w:val="both"/>
        <w:rPr>
          <w:sz w:val="22"/>
          <w:szCs w:val="22"/>
          <w:lang w:val="x-none" w:eastAsia="x-none"/>
        </w:rPr>
      </w:pPr>
      <w:r w:rsidRPr="004A7484">
        <w:rPr>
          <w:b/>
          <w:bCs/>
          <w:sz w:val="22"/>
          <w:szCs w:val="22"/>
        </w:rPr>
        <w:t xml:space="preserve">Сроки </w:t>
      </w:r>
      <w:r w:rsidRPr="00D55DAD">
        <w:rPr>
          <w:b/>
          <w:bCs/>
          <w:sz w:val="22"/>
          <w:szCs w:val="22"/>
        </w:rPr>
        <w:t xml:space="preserve">и условия поставки товаров: </w:t>
      </w:r>
      <w:r w:rsidR="00A97C2D" w:rsidRPr="00A97C2D">
        <w:rPr>
          <w:sz w:val="22"/>
          <w:szCs w:val="22"/>
          <w:lang w:val="x-none" w:eastAsia="x-none"/>
        </w:rPr>
        <w:t>Объем и срок поставки каждой партии Товара определяется</w:t>
      </w:r>
    </w:p>
    <w:p w:rsidR="00A97C2D" w:rsidRPr="00A97C2D" w:rsidRDefault="00A97C2D" w:rsidP="00A97C2D">
      <w:pPr>
        <w:ind w:left="426"/>
        <w:jc w:val="both"/>
        <w:rPr>
          <w:sz w:val="22"/>
          <w:szCs w:val="22"/>
        </w:rPr>
      </w:pPr>
      <w:r w:rsidRPr="00A97C2D">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A97C2D" w:rsidRPr="00A97C2D" w:rsidRDefault="00A97C2D" w:rsidP="00A97C2D">
      <w:pPr>
        <w:jc w:val="both"/>
        <w:rPr>
          <w:spacing w:val="-9"/>
          <w:sz w:val="22"/>
          <w:szCs w:val="22"/>
        </w:rPr>
      </w:pPr>
    </w:p>
    <w:p w:rsidR="006B404B" w:rsidRPr="00D55DAD" w:rsidRDefault="00A97C2D" w:rsidP="006B404B">
      <w:pPr>
        <w:pStyle w:val="aff2"/>
        <w:numPr>
          <w:ilvl w:val="0"/>
          <w:numId w:val="5"/>
        </w:numPr>
        <w:ind w:left="426"/>
        <w:jc w:val="both"/>
        <w:rPr>
          <w:spacing w:val="-9"/>
          <w:sz w:val="22"/>
          <w:szCs w:val="22"/>
        </w:rPr>
      </w:pPr>
      <w:r>
        <w:rPr>
          <w:b/>
          <w:bCs/>
          <w:sz w:val="22"/>
          <w:szCs w:val="22"/>
        </w:rPr>
        <w:t>С</w:t>
      </w:r>
      <w:r w:rsidR="006B404B" w:rsidRPr="00D55DAD">
        <w:rPr>
          <w:b/>
          <w:bCs/>
          <w:sz w:val="22"/>
          <w:szCs w:val="22"/>
        </w:rPr>
        <w:t>тоимость товаров должна включать:</w:t>
      </w:r>
      <w:r w:rsidR="006B404B" w:rsidRPr="00D55DA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A97C2D" w:rsidRDefault="006B404B" w:rsidP="00A97C2D">
      <w:pPr>
        <w:pStyle w:val="aff2"/>
        <w:numPr>
          <w:ilvl w:val="0"/>
          <w:numId w:val="5"/>
        </w:numPr>
        <w:ind w:left="426"/>
        <w:jc w:val="both"/>
        <w:rPr>
          <w:b/>
          <w:bCs/>
          <w:sz w:val="22"/>
          <w:szCs w:val="22"/>
          <w:lang w:val="x-none" w:eastAsia="x-none"/>
        </w:rPr>
      </w:pPr>
      <w:r w:rsidRPr="00A97C2D">
        <w:rPr>
          <w:b/>
          <w:bCs/>
          <w:sz w:val="22"/>
          <w:szCs w:val="22"/>
        </w:rPr>
        <w:t>С</w:t>
      </w:r>
      <w:r w:rsidRPr="00A97C2D">
        <w:rPr>
          <w:b/>
          <w:bCs/>
          <w:color w:val="000000" w:themeColor="text1"/>
          <w:sz w:val="22"/>
          <w:szCs w:val="22"/>
        </w:rPr>
        <w:t xml:space="preserve">рок и условия оплаты: </w:t>
      </w:r>
      <w:r w:rsidR="00A97C2D" w:rsidRPr="00A97C2D">
        <w:rPr>
          <w:kern w:val="1"/>
          <w:sz w:val="22"/>
          <w:szCs w:val="22"/>
          <w:lang w:val="x-none" w:eastAsia="hi-IN" w:bidi="hi-IN"/>
        </w:rPr>
        <w:t xml:space="preserve">Оплата Товара производится Покупателем путем перечисления </w:t>
      </w:r>
      <w:r w:rsidR="00A97C2D" w:rsidRPr="00A97C2D">
        <w:rPr>
          <w:noProof/>
        </w:rPr>
        <w:drawing>
          <wp:inline distT="0" distB="0" distL="0" distR="0">
            <wp:extent cx="6746875" cy="156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6875" cy="156210"/>
                    </a:xfrm>
                    <a:prstGeom prst="rect">
                      <a:avLst/>
                    </a:prstGeom>
                    <a:noFill/>
                    <a:ln>
                      <a:noFill/>
                    </a:ln>
                  </pic:spPr>
                </pic:pic>
              </a:graphicData>
            </a:graphic>
          </wp:inline>
        </w:drawing>
      </w:r>
    </w:p>
    <w:p w:rsidR="006B404B" w:rsidRPr="00A97C2D" w:rsidRDefault="006B404B" w:rsidP="00A97C2D">
      <w:pPr>
        <w:pStyle w:val="aff2"/>
        <w:numPr>
          <w:ilvl w:val="0"/>
          <w:numId w:val="5"/>
        </w:numPr>
        <w:ind w:left="426"/>
        <w:jc w:val="both"/>
        <w:rPr>
          <w:b/>
          <w:bCs/>
          <w:color w:val="000000" w:themeColor="text1"/>
          <w:sz w:val="22"/>
          <w:szCs w:val="22"/>
        </w:rPr>
      </w:pPr>
      <w:r w:rsidRPr="00A97C2D">
        <w:rPr>
          <w:b/>
          <w:bCs/>
          <w:sz w:val="22"/>
          <w:szCs w:val="22"/>
        </w:rPr>
        <w:t xml:space="preserve">Особые условия: </w:t>
      </w:r>
      <w:r w:rsidRPr="00A97C2D">
        <w:rPr>
          <w:bCs/>
          <w:sz w:val="22"/>
          <w:szCs w:val="22"/>
        </w:rPr>
        <w:t xml:space="preserve">в случае, если Участник подает котировочную заявку на Товар, являющийся аналогом, то </w:t>
      </w:r>
      <w:r w:rsidRPr="00A97C2D">
        <w:rPr>
          <w:bCs/>
          <w:color w:val="000000" w:themeColor="text1"/>
          <w:sz w:val="22"/>
          <w:szCs w:val="22"/>
        </w:rPr>
        <w:t xml:space="preserve">данный Товар по техническим характеристикам </w:t>
      </w:r>
      <w:r w:rsidRPr="00A97C2D">
        <w:rPr>
          <w:bCs/>
          <w:color w:val="000000" w:themeColor="text1"/>
          <w:sz w:val="22"/>
          <w:szCs w:val="22"/>
          <w:u w:val="single"/>
        </w:rPr>
        <w:t>не должен быть хуже,</w:t>
      </w:r>
      <w:r w:rsidRPr="00A97C2D">
        <w:rPr>
          <w:bCs/>
          <w:color w:val="000000" w:themeColor="text1"/>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финансирования:  </w:t>
      </w:r>
      <w:r w:rsidRPr="00646BCA">
        <w:rPr>
          <w:bCs/>
          <w:color w:val="000000" w:themeColor="text1"/>
          <w:sz w:val="22"/>
          <w:szCs w:val="22"/>
        </w:rPr>
        <w:t>доходы,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«РЖД-Медицина» г. Ульяновск» – 432012</w:t>
      </w:r>
      <w:r w:rsidRPr="004A7484">
        <w:rPr>
          <w:sz w:val="22"/>
          <w:szCs w:val="22"/>
        </w:rPr>
        <w:t xml:space="preserve">, г. </w:t>
      </w:r>
      <w:r>
        <w:rPr>
          <w:sz w:val="22"/>
          <w:szCs w:val="22"/>
        </w:rPr>
        <w:t>Ульяновск,  улица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A97C2D">
        <w:rPr>
          <w:b/>
          <w:bCs/>
          <w:lang w:eastAsia="x-none"/>
        </w:rPr>
        <w:t>05</w:t>
      </w:r>
      <w:r w:rsidRPr="006B404B">
        <w:rPr>
          <w:b/>
          <w:bCs/>
          <w:lang w:val="x-none" w:eastAsia="x-none"/>
        </w:rPr>
        <w:t>.0</w:t>
      </w:r>
      <w:r w:rsidR="00A97C2D">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9C7BFC">
        <w:rPr>
          <w:b/>
          <w:bCs/>
          <w:lang w:eastAsia="x-none"/>
        </w:rPr>
        <w:t>0</w:t>
      </w:r>
      <w:r w:rsidR="00A97C2D">
        <w:rPr>
          <w:b/>
          <w:bCs/>
          <w:lang w:eastAsia="x-none"/>
        </w:rPr>
        <w:t>9</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A97C2D">
        <w:rPr>
          <w:b/>
          <w:bCs/>
          <w:lang w:eastAsia="x-none"/>
        </w:rPr>
        <w:t>12</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A97C2D">
        <w:rPr>
          <w:b/>
          <w:bCs/>
          <w:lang w:eastAsia="x-none"/>
        </w:rPr>
        <w:t>12</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A97C2D">
        <w:rPr>
          <w:b/>
          <w:bCs/>
          <w:lang w:eastAsia="x-none"/>
        </w:rPr>
        <w:t>12</w:t>
      </w:r>
      <w:r w:rsidRPr="006B404B">
        <w:rPr>
          <w:b/>
          <w:bCs/>
          <w:lang w:val="x-none" w:eastAsia="x-none"/>
        </w:rPr>
        <w:t>.0</w:t>
      </w:r>
      <w:r w:rsidR="009F25F0">
        <w:rPr>
          <w:b/>
          <w:bCs/>
          <w:lang w:eastAsia="x-none"/>
        </w:rPr>
        <w:t>4</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w:t>
      </w:r>
      <w:r w:rsidRPr="007969A7">
        <w:rPr>
          <w:bCs/>
          <w:sz w:val="24"/>
          <w:szCs w:val="24"/>
        </w:rPr>
        <w:lastRenderedPageBreak/>
        <w:t>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w:t>
      </w:r>
      <w:r w:rsidRPr="007969A7">
        <w:rPr>
          <w:bCs/>
          <w:sz w:val="24"/>
          <w:szCs w:val="24"/>
        </w:rPr>
        <w:lastRenderedPageBreak/>
        <w:t>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w:t>
      </w:r>
      <w:r w:rsidRPr="009F25F0">
        <w:rPr>
          <w:lang w:val="x-none" w:eastAsia="x-none"/>
        </w:rPr>
        <w:lastRenderedPageBreak/>
        <w:t>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3"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4"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5"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lastRenderedPageBreak/>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w:t>
      </w:r>
      <w:r w:rsidRPr="009F25F0">
        <w:rPr>
          <w:lang w:val="x-none" w:eastAsia="x-none"/>
        </w:rPr>
        <w:lastRenderedPageBreak/>
        <w:t>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70022C" w:rsidRPr="0070022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lastRenderedPageBreak/>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lastRenderedPageBreak/>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Pr="009F25F0">
        <w:rPr>
          <w:lang w:val="x-none" w:eastAsia="x-none"/>
        </w:rPr>
        <w:fldChar w:fldCharType="begin"/>
      </w:r>
      <w:r w:rsidRPr="009F25F0">
        <w:rPr>
          <w:lang w:val="x-none" w:eastAsia="x-none"/>
        </w:rPr>
        <w:instrText xml:space="preserve"> REF _Ref522097142 \r \h  \* MERGEFORMAT </w:instrText>
      </w:r>
      <w:r w:rsidRPr="009F25F0">
        <w:rPr>
          <w:lang w:val="x-none" w:eastAsia="x-none"/>
        </w:rPr>
      </w:r>
      <w:r w:rsidRPr="009F25F0">
        <w:rPr>
          <w:lang w:val="x-none" w:eastAsia="x-none"/>
        </w:rPr>
        <w:fldChar w:fldCharType="separate"/>
      </w:r>
      <w:r w:rsidR="0070022C">
        <w:rPr>
          <w:b/>
          <w:bCs/>
          <w:lang w:eastAsia="x-none"/>
        </w:rPr>
        <w:t>Ошибка! Источник ссылки не найден.</w:t>
      </w:r>
      <w:r w:rsidRPr="009F25F0">
        <w:rPr>
          <w:lang w:val="x-none" w:eastAsia="x-none"/>
        </w:rPr>
        <w:fldChar w:fldCharType="end"/>
      </w:r>
      <w:r w:rsidRPr="009F25F0">
        <w:rPr>
          <w:lang w:val="x-none" w:eastAsia="x-none"/>
        </w:rPr>
        <w:t>-</w:t>
      </w:r>
      <w:r w:rsidRPr="009F25F0">
        <w:rPr>
          <w:lang w:val="x-none" w:eastAsia="x-none"/>
        </w:rPr>
        <w:fldChar w:fldCharType="begin"/>
      </w:r>
      <w:r w:rsidRPr="009F25F0">
        <w:rPr>
          <w:lang w:val="x-none" w:eastAsia="x-none"/>
        </w:rPr>
        <w:instrText xml:space="preserve"> REF _Ref522097159 \r \h  \* MERGEFORMAT </w:instrText>
      </w:r>
      <w:r w:rsidRPr="009F25F0">
        <w:rPr>
          <w:lang w:val="x-none" w:eastAsia="x-none"/>
        </w:rPr>
      </w:r>
      <w:r w:rsidRPr="009F25F0">
        <w:rPr>
          <w:lang w:val="x-none" w:eastAsia="x-none"/>
        </w:rPr>
        <w:fldChar w:fldCharType="separate"/>
      </w:r>
      <w:r w:rsidR="0070022C">
        <w:rPr>
          <w:b/>
          <w:bCs/>
          <w:lang w:eastAsia="x-none"/>
        </w:rPr>
        <w:t>Ошибка! Источник ссылки не найден.</w:t>
      </w:r>
      <w:r w:rsidRPr="009F25F0">
        <w:rPr>
          <w:lang w:val="x-none" w:eastAsia="x-none"/>
        </w:rPr>
        <w:fldChar w:fldCharType="end"/>
      </w:r>
      <w:r w:rsidRPr="009F25F0">
        <w:rPr>
          <w:lang w:val="x-none" w:eastAsia="x-none"/>
        </w:rPr>
        <w:t xml:space="preserve"> 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w:t>
      </w:r>
      <w:r w:rsidRPr="009F25F0">
        <w:rPr>
          <w:lang w:val="x-none" w:eastAsia="x-none"/>
        </w:rPr>
        <w:lastRenderedPageBreak/>
        <w:t>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информационная справка, содержащая сведения о владельцах контрагента, включая конечных бенефициаров;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 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lastRenderedPageBreak/>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6"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w:t>
      </w:r>
      <w:r w:rsidRPr="009F25F0">
        <w:rPr>
          <w:lang w:val="x-none" w:eastAsia="x-none"/>
        </w:rPr>
        <w:lastRenderedPageBreak/>
        <w:t>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w:t>
      </w:r>
      <w:r w:rsidRPr="009F25F0">
        <w:rPr>
          <w:lang w:val="x-none" w:eastAsia="x-none"/>
        </w:rPr>
        <w:lastRenderedPageBreak/>
        <w:t>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ind w:firstLine="851"/>
      </w:pPr>
      <w:r w:rsidRPr="009F25F0">
        <w:t>Председатель  комиссии по закупкам</w:t>
      </w:r>
      <w:r w:rsidRPr="009F25F0">
        <w:tab/>
        <w:t xml:space="preserve">_____________________  </w:t>
      </w:r>
      <w:r>
        <w:t>И.Н. Агафонова</w:t>
      </w:r>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7"/>
          <w:footerReference w:type="default" r:id="rId18"/>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rsidR="003D44D1" w:rsidRPr="009C7BFC" w:rsidRDefault="003D44D1" w:rsidP="003D44D1">
      <w:r>
        <w:rPr>
          <w:color w:val="000000"/>
          <w:lang w:val="en-US" w:eastAsia="ar-SA"/>
        </w:rPr>
        <w:t>E</w:t>
      </w:r>
      <w:r w:rsidRPr="009C7BFC">
        <w:rPr>
          <w:color w:val="000000"/>
          <w:lang w:eastAsia="ar-SA"/>
        </w:rPr>
        <w:t>-</w:t>
      </w:r>
      <w:r>
        <w:rPr>
          <w:color w:val="000000"/>
          <w:lang w:val="en-US" w:eastAsia="ar-SA"/>
        </w:rPr>
        <w:t>mail</w:t>
      </w:r>
      <w:r w:rsidRPr="009C7BFC">
        <w:rPr>
          <w:color w:val="000000"/>
          <w:lang w:eastAsia="ar-SA"/>
        </w:rPr>
        <w:t xml:space="preserve">: </w:t>
      </w:r>
      <w:r>
        <w:rPr>
          <w:color w:val="000000"/>
          <w:lang w:val="en-US" w:eastAsia="ar-SA"/>
        </w:rPr>
        <w:t>ob</w:t>
      </w:r>
      <w:r w:rsidRPr="009C7BFC">
        <w:rPr>
          <w:color w:val="000000"/>
          <w:lang w:eastAsia="ar-SA"/>
        </w:rPr>
        <w:t>_</w:t>
      </w:r>
      <w:r>
        <w:rPr>
          <w:color w:val="000000"/>
          <w:lang w:val="en-US" w:eastAsia="ar-SA"/>
        </w:rPr>
        <w:t>ul</w:t>
      </w:r>
      <w:r w:rsidRPr="009C7BFC">
        <w:rPr>
          <w:color w:val="000000"/>
          <w:lang w:eastAsia="ar-SA"/>
        </w:rPr>
        <w:t>_</w:t>
      </w:r>
      <w:r>
        <w:rPr>
          <w:color w:val="000000"/>
          <w:lang w:val="en-US" w:eastAsia="ar-SA"/>
        </w:rPr>
        <w:t>zakupki</w:t>
      </w:r>
      <w:r w:rsidRPr="009C7BFC">
        <w:rPr>
          <w:color w:val="000000"/>
          <w:lang w:eastAsia="ar-SA"/>
        </w:rPr>
        <w:t>@</w:t>
      </w:r>
      <w:r>
        <w:rPr>
          <w:color w:val="000000"/>
          <w:lang w:val="en-US" w:eastAsia="ar-SA"/>
        </w:rPr>
        <w:t>mail</w:t>
      </w:r>
      <w:r w:rsidRPr="009C7BFC">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tbl>
      <w:tblPr>
        <w:tblStyle w:val="af1"/>
        <w:tblW w:w="0" w:type="auto"/>
        <w:tblLook w:val="04A0" w:firstRow="1" w:lastRow="0" w:firstColumn="1" w:lastColumn="0" w:noHBand="0" w:noVBand="1"/>
      </w:tblPr>
      <w:tblGrid>
        <w:gridCol w:w="988"/>
        <w:gridCol w:w="4204"/>
        <w:gridCol w:w="2597"/>
        <w:gridCol w:w="2597"/>
        <w:gridCol w:w="2597"/>
        <w:gridCol w:w="2597"/>
      </w:tblGrid>
      <w:tr w:rsidR="00D66AF5" w:rsidTr="004F08CE">
        <w:tc>
          <w:tcPr>
            <w:tcW w:w="988" w:type="dxa"/>
            <w:tcBorders>
              <w:top w:val="single" w:sz="4" w:space="0" w:color="auto"/>
              <w:left w:val="single" w:sz="4" w:space="0" w:color="auto"/>
              <w:bottom w:val="single" w:sz="4" w:space="0" w:color="auto"/>
              <w:right w:val="single" w:sz="4" w:space="0" w:color="auto"/>
            </w:tcBorders>
            <w:vAlign w:val="center"/>
          </w:tcPr>
          <w:p w:rsidR="00D66AF5" w:rsidRPr="00646BCA" w:rsidRDefault="00D66AF5" w:rsidP="00D66AF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b/>
                <w:bCs/>
              </w:rPr>
            </w:pPr>
            <w:r w:rsidRPr="00646BCA">
              <w:rPr>
                <w:b/>
                <w:bCs/>
              </w:rPr>
              <w:t>Всего с учетом стоимости всех налогов и расходов</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Среда Левина-ГРМ «Питательная среда с эозинметиленовым синим сухая» 250 г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863,32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863,32</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Агар Плоскирева-ГРМ «Питательная среда для выделения шигелл и сальмонелл сухая»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1173,99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1 173,99</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Агар Эндо-ГРМ «Питательная среда для выделения энтеробактрий сухая» 250 г (среда №4)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1058,81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2 117,63</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Селенитовый бульон,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1891,49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1 891,49</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Агар Клигера-ГРМ «Питательная среда для идентификации энтеробактрий сухая»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874,95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2 624,84</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Питательная среда №14 ГРМ для контроля микробной загязненности (цитратный агар Симмонса)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1898,89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1 898,89</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Коринебакагар «Питательная среда для выделения коринебактерий»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3510,36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3 510,36</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Среда Пизу «Питательная среда для идентификации коринебактерий по тесту расщепления цистина сухая»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2847,81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2 847,81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ГРМ-бульон «Питательный бульон для культивирования микроорганизмов сухой»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1014,43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2 028,86</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ГРМ-агар «Питательный агар для культивирования микроорганизмов сухой»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1048,25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10 482,46</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Питательная среда №2 ГРМ (Сабуро) для контроля микробной загрязненности (для выращивания грибов)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1287,06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10 296,48</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Лактобакагар «Питательная среда для выделения и культивирования лактобацилл сухая»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2941,85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5 883,71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Стафилококкагар «Питательная среда для выделения стафилококков сухая»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824,23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6 593,81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Энтерококкагар «Питательная среда для выделения энтерококков сухая»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3215,54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6 431,08</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Питательная среда для определения чувствительности микроорганизмов к антибактериальным препаратам, сухая (агар Мюллера-ХинтонII)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2234,92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22 349,21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Двухфазная среда для гемокультур взрослая (10 фл х 60 мл) LQ012</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9405,69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18 811,37</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Среда Сабуро (бульон) 1 кг (БТН)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кг</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0,25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2745,31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686,33</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Тиогликолевая среда «Питательная среда для контроля стерильности сухая»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1942,21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1 942,21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Бифидум-среда «Питательная среда для культивирования и выделения бифидобактерий»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2941,85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5 883,71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Висмут-сульфит-ГРМ-агар «Питательная среда для выделения сальмонелл сухая» 250 г (среда №5)</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1610,68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1 610,68</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Калия теллурит 2% р-р (10 амп х 5 мл) ТУ 9385-010-29508133-2008</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474,46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2 372,29</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Индоловый реагент Ковача (Реактив Ковача) 100 мл (R008)</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1923,48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1 923,48</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Набор реагентов «Плазма кроличья цитратная сухая», амп. 1 мл №10</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4150,72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4 150,72</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Петли микроб. №1 без держ нихром 10 шт (BR-006-1)</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191,26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191,26</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Петли микроб. №2 без держ нихром 10 шт (BR-006-2)</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191,26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191,26</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Петли микроб. №5 без держ нихром 10 шт (BR-006-5)</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191,26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191,26</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Тампон (сваб) пластик-вискоза с транспортной средой AMIES без угля стер. 100 шт (18000740)</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2833,67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85 010,10</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Чашка Петри 100 х 20, толщ. 3 мм, стекло ТУ 9464-021-29508133-2016, уп. 36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77,32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13 918,32</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Контейнер лабораторный для взятия проб по ТУ 9464-018-29508133-2014, 60 мл, с завинч крышкой и ложкой, стер., п/п, инд уп (12003028)</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6,34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2 536,08</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Набор реагентов «Диагностикум эритроцитрарный сальмонеллезный Ви-антигенный жидкий «Набор на 8 тестов. Объем диагностикума  на 24 теста. (Био-Диагностика)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компл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5705,12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5 705,12</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амикацином (амикином, ликацином) 30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3 698,45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амоксиклавом 20/10 мкг, 50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1 849,23</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бацитрацином 0,04 ЕД 1 фл х 50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214,51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1 072,55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гентамицином 10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924,61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доксициклином 30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924,61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имипенемом (тиенамом, примоксином) 10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924,61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левофлоксацином 5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3 698,45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меропенемом (мероненом) 10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924,61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оптохиноном 1 фл х 100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410,00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2 050,00</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фосфомицином 200 мкг 1 фл х 50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1 849,23</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Дисики с кефзолом (цефазолином) 30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924,61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цефиксимом 5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924,61</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клафораном (цефотаксимом) 30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3 698,45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цефтриаксоном (лонгацефом) 30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3 698,45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ципрофлоксацином (ципробаем) 5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3 698,45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канамицином 30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223,72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1 118,60</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моксифлоксацином (авелокссом) 5 мкг 1 фл х 100 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223,72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1 118,60</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нетимицином 30 мкг 1 фл х 100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223,72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447,44</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амфотерецином В 40 мкг 1 фл х 100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369,85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итраконазолом 10 мкг 1 фл х 100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369,85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кетоконазолом 20 мкг 1 фл х 100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369,85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клотримазолом 10 мкг 1 фл х 100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369,85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нистатином 80 ЕД 1фл х 100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369,85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Диски с флуконазолом 40 мкг 1 фл х 100 шт (НИЦФ)</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флак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184,92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369,85</w:t>
            </w:r>
          </w:p>
        </w:tc>
      </w:tr>
      <w:tr w:rsidR="006E017A" w:rsidTr="004F08CE">
        <w:tc>
          <w:tcPr>
            <w:tcW w:w="988" w:type="dxa"/>
          </w:tcPr>
          <w:p w:rsidR="006E017A" w:rsidRPr="00D66AF5" w:rsidRDefault="006E017A" w:rsidP="006E017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6E017A" w:rsidRDefault="006E017A" w:rsidP="006E017A">
            <w:pPr>
              <w:rPr>
                <w:color w:val="000000"/>
                <w:sz w:val="22"/>
                <w:szCs w:val="22"/>
              </w:rPr>
            </w:pPr>
            <w:r>
              <w:rPr>
                <w:color w:val="000000"/>
                <w:sz w:val="22"/>
                <w:szCs w:val="22"/>
              </w:rPr>
              <w:t>Маннит 250 г (Оболенск)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упак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E017A" w:rsidRDefault="006E017A" w:rsidP="006E017A">
            <w:pPr>
              <w:jc w:val="center"/>
              <w:rPr>
                <w:color w:val="000000"/>
                <w:sz w:val="22"/>
                <w:szCs w:val="22"/>
              </w:rPr>
            </w:pPr>
            <w:r>
              <w:rPr>
                <w:color w:val="000000"/>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1457,53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E017A" w:rsidRDefault="006E017A" w:rsidP="006E017A">
            <w:pPr>
              <w:jc w:val="center"/>
            </w:pPr>
            <w:r>
              <w:t>1 457,53</w:t>
            </w:r>
          </w:p>
        </w:tc>
      </w:tr>
      <w:tr w:rsidR="006E017A" w:rsidTr="004F08CE">
        <w:tc>
          <w:tcPr>
            <w:tcW w:w="988" w:type="dxa"/>
          </w:tcPr>
          <w:p w:rsidR="006E017A" w:rsidRPr="00D66AF5" w:rsidRDefault="006E017A" w:rsidP="006E017A">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6E017A" w:rsidRDefault="006E017A" w:rsidP="006E017A">
            <w:pPr>
              <w:contextualSpacing/>
              <w:rPr>
                <w:sz w:val="22"/>
                <w:szCs w:val="22"/>
              </w:rPr>
            </w:pPr>
            <w:r w:rsidRPr="00646BCA">
              <w:rPr>
                <w:b/>
                <w:bCs/>
              </w:rPr>
              <w:t>ИТОГО начальная (максимальная) цена</w:t>
            </w:r>
          </w:p>
        </w:tc>
        <w:tc>
          <w:tcPr>
            <w:tcW w:w="2597" w:type="dxa"/>
          </w:tcPr>
          <w:p w:rsidR="006E017A" w:rsidRPr="006E017A" w:rsidRDefault="006E017A" w:rsidP="006E017A">
            <w:pPr>
              <w:contextualSpacing/>
              <w:jc w:val="center"/>
            </w:pPr>
            <w:r w:rsidRPr="006E017A">
              <w:t>263 340,61</w:t>
            </w:r>
          </w:p>
        </w:tc>
      </w:tr>
      <w:tr w:rsidR="006E017A" w:rsidTr="004F08CE">
        <w:tc>
          <w:tcPr>
            <w:tcW w:w="988" w:type="dxa"/>
          </w:tcPr>
          <w:p w:rsidR="006E017A" w:rsidRPr="00D66AF5" w:rsidRDefault="006E017A" w:rsidP="006E017A">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6E017A" w:rsidRPr="00646BCA" w:rsidRDefault="006E017A" w:rsidP="006E017A">
            <w:pPr>
              <w:rPr>
                <w:b/>
                <w:bCs/>
              </w:rPr>
            </w:pPr>
            <w:r w:rsidRPr="00646BCA">
              <w:rPr>
                <w:b/>
                <w:bCs/>
              </w:rPr>
              <w:t>Порядок формирования начальной</w:t>
            </w:r>
          </w:p>
          <w:p w:rsidR="006E017A" w:rsidRPr="00646BCA" w:rsidRDefault="006E017A" w:rsidP="006E017A">
            <w:r w:rsidRPr="00646BCA">
              <w:rPr>
                <w:b/>
                <w:bCs/>
              </w:rPr>
              <w:t>(максимальной) цены договора</w:t>
            </w:r>
          </w:p>
        </w:tc>
        <w:tc>
          <w:tcPr>
            <w:tcW w:w="10388" w:type="dxa"/>
            <w:gridSpan w:val="4"/>
          </w:tcPr>
          <w:p w:rsidR="006E017A" w:rsidRDefault="006E017A" w:rsidP="006E017A">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Default="00D073B6" w:rsidP="00E16920">
      <w:pPr>
        <w:ind w:firstLine="708"/>
        <w:contextualSpacing/>
        <w:rPr>
          <w:sz w:val="22"/>
          <w:szCs w:val="22"/>
        </w:rPr>
      </w:pPr>
    </w:p>
    <w:p w:rsidR="009F3E13" w:rsidRPr="00646BCA" w:rsidRDefault="009F3E13" w:rsidP="00E16920">
      <w:pPr>
        <w:ind w:firstLine="708"/>
        <w:contextualSpacing/>
      </w:pPr>
    </w:p>
    <w:tbl>
      <w:tblPr>
        <w:tblW w:w="14790" w:type="dxa"/>
        <w:tblInd w:w="89" w:type="dxa"/>
        <w:tblLayout w:type="fixed"/>
        <w:tblLook w:val="0000" w:firstRow="0" w:lastRow="0" w:firstColumn="0" w:lastColumn="0" w:noHBand="0" w:noVBand="0"/>
      </w:tblPr>
      <w:tblGrid>
        <w:gridCol w:w="757"/>
        <w:gridCol w:w="5358"/>
        <w:gridCol w:w="8675"/>
      </w:tblGrid>
      <w:tr w:rsidR="00646BCA"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646BCA" w:rsidRPr="004F08CE" w:rsidRDefault="00646BCA" w:rsidP="00646BCA">
            <w:pPr>
              <w:shd w:val="clear" w:color="auto" w:fill="FFFFFF"/>
              <w:snapToGrid w:val="0"/>
              <w:ind w:left="24"/>
              <w:jc w:val="center"/>
              <w:rPr>
                <w:b/>
                <w:color w:val="000000"/>
                <w:spacing w:val="-6"/>
                <w:sz w:val="22"/>
                <w:szCs w:val="22"/>
              </w:rPr>
            </w:pPr>
          </w:p>
          <w:p w:rsidR="00646BCA" w:rsidRPr="004F08CE" w:rsidRDefault="00646BCA" w:rsidP="00646BCA">
            <w:pPr>
              <w:shd w:val="clear" w:color="auto" w:fill="FFFFFF"/>
              <w:ind w:left="24"/>
              <w:jc w:val="center"/>
              <w:rPr>
                <w:b/>
                <w:color w:val="000000"/>
                <w:spacing w:val="-6"/>
                <w:sz w:val="22"/>
                <w:szCs w:val="22"/>
              </w:rPr>
            </w:pPr>
            <w:r w:rsidRPr="004F08CE">
              <w:rPr>
                <w:b/>
                <w:color w:val="000000"/>
                <w:spacing w:val="-6"/>
                <w:sz w:val="22"/>
                <w:szCs w:val="22"/>
              </w:rPr>
              <w:t>№ п/п</w:t>
            </w:r>
          </w:p>
        </w:tc>
        <w:tc>
          <w:tcPr>
            <w:tcW w:w="5358" w:type="dxa"/>
            <w:tcBorders>
              <w:top w:val="single" w:sz="4" w:space="0" w:color="000000"/>
              <w:left w:val="single" w:sz="4" w:space="0" w:color="000000"/>
              <w:bottom w:val="single" w:sz="4" w:space="0" w:color="000000"/>
            </w:tcBorders>
            <w:shd w:val="clear" w:color="auto" w:fill="auto"/>
            <w:vAlign w:val="center"/>
          </w:tcPr>
          <w:p w:rsidR="00646BCA" w:rsidRPr="004F08CE" w:rsidRDefault="00646BCA" w:rsidP="00646BCA">
            <w:pPr>
              <w:shd w:val="clear" w:color="auto" w:fill="FFFFFF"/>
              <w:snapToGrid w:val="0"/>
              <w:ind w:left="24"/>
              <w:jc w:val="center"/>
              <w:rPr>
                <w:b/>
                <w:color w:val="000000"/>
                <w:spacing w:val="-6"/>
                <w:sz w:val="22"/>
                <w:szCs w:val="22"/>
              </w:rPr>
            </w:pPr>
          </w:p>
          <w:p w:rsidR="00646BCA" w:rsidRPr="004F08CE" w:rsidRDefault="00646BCA" w:rsidP="00646BCA">
            <w:pPr>
              <w:shd w:val="clear" w:color="auto" w:fill="FFFFFF"/>
              <w:ind w:left="24"/>
              <w:jc w:val="center"/>
              <w:rPr>
                <w:b/>
                <w:color w:val="000000"/>
                <w:spacing w:val="-6"/>
                <w:sz w:val="22"/>
                <w:szCs w:val="22"/>
              </w:rPr>
            </w:pPr>
          </w:p>
          <w:p w:rsidR="00646BCA" w:rsidRPr="004F08CE" w:rsidRDefault="00646BCA" w:rsidP="00646BCA">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CA" w:rsidRPr="004F08CE" w:rsidRDefault="00646BCA" w:rsidP="00646BCA">
            <w:pPr>
              <w:shd w:val="clear" w:color="auto" w:fill="FFFFFF"/>
              <w:snapToGrid w:val="0"/>
              <w:ind w:left="24"/>
              <w:jc w:val="center"/>
              <w:rPr>
                <w:b/>
                <w:color w:val="000000"/>
                <w:spacing w:val="-6"/>
                <w:sz w:val="22"/>
                <w:szCs w:val="22"/>
              </w:rPr>
            </w:pPr>
          </w:p>
          <w:p w:rsidR="00646BCA" w:rsidRPr="004F08CE" w:rsidRDefault="00646BCA" w:rsidP="00646BCA">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single" w:sz="4" w:space="0" w:color="000000"/>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Среда Левина-ГРМ «Питательная среда с эозинметиленовым синим сухая» 250 г (Оболенск)</w:t>
            </w:r>
          </w:p>
        </w:tc>
        <w:tc>
          <w:tcPr>
            <w:tcW w:w="86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Среда для выделения патогенных и условно-патогенных м/ов. В виде сухого порошка,фасовка в полиэтиленовых банках, весом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Агар Плоскирева-ГРМ «Питательная среда для выделения шигелл и сальмонелл сухая»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Предназначена для выделения шигелл и сальмонелл и дифференциации от других  лактозо-ферментирующих энтеробактерий. В виде сухого порошка,фасовка в полиэтиленовых банках, весом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Агар Эндо-ГРМ «Питательная среда для выделения энтеробактрий сухая» 250 г (среда №4)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Среда для выделения энтеробактерий из исследуемого материала и их дифференциация  по б/х признаку ращепления глюкозы.В виде сухого порошка ,фасовка в полиэтиленовых банках, весом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Селенитовый бульон,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Бульонная среда  обогащения для выделения сальмонелл из патологического материала. В виде сухого порошка ,фасовка в полиэтиленовых банках, весом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Агар Клигера-ГРМ «Питательная среда для идентификации энтеробактрий сухая»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Питательная среда предназначена для идентификации энтеробактерий по б/х признаку- способность ферментировать лактозу,глюкозу, образовывать газ и сероводород..В виде сухого порошка .фасовка в полиэтиленовых банках, весом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Питательная среда №14 ГРМ для контроля микробной загязненности (цитратный агар Симмонса)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Среда с индикатором БТС, для контроля микробной загрязненности . Применяется для б/х дифференциации м/ов по способности к утилизации натрия.В виде сухого порошка .фасовка в полиэтиленовых банках, весом 250 г</w:t>
            </w:r>
          </w:p>
        </w:tc>
      </w:tr>
      <w:tr w:rsidR="004F08CE" w:rsidRPr="00CE1CC2" w:rsidTr="004F08CE">
        <w:tc>
          <w:tcPr>
            <w:tcW w:w="757" w:type="dxa"/>
            <w:tcBorders>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Коринебакагар «Питательная среда для выделения коринебактерий»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Среда для выделения дифтерийных палочек из инфицированного материала от больных дифтерией, реконвалесцентов и носителей. В виде сухого порошка .фасовка в полиэтиленовых банках, весом 250 г</w:t>
            </w:r>
          </w:p>
        </w:tc>
      </w:tr>
      <w:tr w:rsidR="004F08CE" w:rsidRPr="00CE1CC2" w:rsidTr="004F08CE">
        <w:tc>
          <w:tcPr>
            <w:tcW w:w="757" w:type="dxa"/>
            <w:tcBorders>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Среда Пизу «Питательная среда для идентификации коринебактерий по тесту расщепления цистина сухая»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Питаттельная среда для бактериологических исследований с целью идентификации коринебактерий по тесту ращепления цистина ферментом цистиназой при диагностике инфекционных заболеваний.Сухой порошок в полиэтиленовых  банках по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ГРМ-бульон «Питательный бульон для культивирования микроорганизмов сухой»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Сухой питательный бульон в виде порошка в полиэтиленовых банках по 250 г. для приготовления бактериологических неселективных средо бщего назначения для различных микроорганизмов.</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ГРМ-агар «Питательный агар для культивирования микроорганизмов сухой»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Питательная среда  в виде порошка в полиэтиленовых банках по 250 г. для приготовления бактериологических неселективных сред общего назначения для различных микроорганизмов. При необходимости вносятся различные добавки.</w:t>
            </w:r>
          </w:p>
        </w:tc>
      </w:tr>
      <w:tr w:rsidR="004F08CE" w:rsidRPr="00CE1CC2" w:rsidTr="004F08CE">
        <w:tc>
          <w:tcPr>
            <w:tcW w:w="757" w:type="dxa"/>
            <w:tcBorders>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Питательная среда №2 ГРМ (Сабуро) для контроля микробной загрязненности (для выращивания грибов)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Сабуро-агар предназначен для выращивания и подсчета общего числа дрожжевых и плесневых грибов при контроле микробной загрязненности. Сухой порошок в полиэтиленовых  банках по 250 г.</w:t>
            </w:r>
          </w:p>
        </w:tc>
      </w:tr>
      <w:tr w:rsidR="004F08CE" w:rsidRPr="00CE1CC2" w:rsidTr="004F08CE">
        <w:tc>
          <w:tcPr>
            <w:tcW w:w="757" w:type="dxa"/>
            <w:tcBorders>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Лактобакагар «Питательная среда для выделения и культивирования лактобацилл сухая»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Смесь сухих компонентов в виде  мелкодисперсного, гигроскопичного, светочувствительного порошка желтого цвета для культивирования лактобацилл  в полиэтиленовых банках по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Стафилококкагар «Питательная среда для выделения стафилококков сухая»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Питательная среда для выделения стафилококков из иследуемого материала при бактериологических исследованиях в клинической и санитарной микробиологии в виде порошка, фасованного в полиэтиленовые банки весом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shd w:val="clear" w:color="auto" w:fill="FFFF00"/>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Энтерококкагар «Питательная среда для выделения энтерококков сухая»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Питательная среда предназначена для вылеления энтерококков из клинического материала т других обьектов. В виде сухого порошка в пластиковых флаконах по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shd w:val="clear" w:color="auto" w:fill="FFFF00"/>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Питательная среда для определения чувствительности микроорганизмов к антибактериальным препаратам, сухая (агар Мюллера-ХинтонII)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Среда общего назначения типа АГВ, используемая для культивирования широкого ряда микроорганизмов, при определении чувствительности м/ов к антибиотикам. В виде сухого порошка в волиэтиленовой банке весом 250 г.</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shd w:val="clear" w:color="auto" w:fill="FFFF00"/>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Двухфазная среда для гемокультур взрослая (10 фл х 60 мл) LQ012</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Предназначена для посева крови и других жидких биосубстратов. Может быть использована как трансортная система и как среда для культивирования аэробов и факультативных анаэробов. Готовая система во флаконах по 60 мл.</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Среда Сабуро (бульон) 1 кг (БТН)</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В виде сухого порошка в полиэтиленовых банках весом 250 г предназначена для приготовления жидких питательных сред для обнаружения и культивирования дрожжевых и плесневых грибов и контроля стерильности.</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Тиогликолевая среда «Питательная среда для контроля стерильности сухая»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Питательная среда для качественного определения присуствия микроорганизмов в различных биологических образцах и материалах. В виде сухого порошка в полиэтиленовых банках весом 250 г.</w:t>
            </w:r>
          </w:p>
        </w:tc>
      </w:tr>
      <w:tr w:rsidR="004F08CE" w:rsidRPr="00CE1CC2" w:rsidTr="004F08CE">
        <w:trPr>
          <w:trHeight w:val="357"/>
        </w:trPr>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Бифидум-среда «Питательная среда для культивирования и выделения бифидобактерий»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Питательная среда для культивирования бифидум-бактерий в бактериологических исследования при подозрении на дисбактериоз. В виде сухого порошка фасовкой 250 г в полиэтиленовых банках.</w:t>
            </w:r>
          </w:p>
        </w:tc>
      </w:tr>
      <w:tr w:rsidR="004F08CE" w:rsidRPr="00CE1CC2" w:rsidTr="004F08CE">
        <w:trPr>
          <w:trHeight w:val="276"/>
        </w:trPr>
        <w:tc>
          <w:tcPr>
            <w:tcW w:w="757" w:type="dxa"/>
            <w:tcBorders>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Висмут-сульфит-ГРМ-агар «Питательная среда для выделения сальмонелл сухая» 250 г (среда №5)</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Среда для высокоселективного выделения сальмонелл из клинических образцов и пищевых продуктов. В виде сухого порошка весом 250 г в полиэтиленовых банках.</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Калия теллурит 2% р-р (10 амп х 5 мл) ТУ 9385-010-29508133-2008</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Предназначен для использования в бак.лаборатории в качестве добавки при приготовлении  питательных сред для возбудителей дифтерии, холеры и других бактерий. Выпускается в ампулах по 5 мл в картонной упаковке.</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Индоловый реагент Ковача (Реактив Ковача) 100 мл (R008)</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Для обнаружения индолообразования бактериями в рузультате дезаминирования триптофана. Во флаконе, жидкий, обемом 100 мл</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Набор реагентов «Плазма кроличья цитратная сухая», амп. 1 мл №10</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Набор реагентов преденазначен для видовой идентификации стафилококков в реакции плазмокоагуляции. Леофилизат для приготовления раствора в ампулах по 10 ши в картонной упаковке.</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Петли микроб. №1 без держ нихром 10 шт (BR-006-1)</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Используются для взятия и переноса микробных культур в процессе подготовки проб для посева и анализа. Предназначены для многократного циклического использования. Выпускаются диаметром от 0 до 5 мм в упаковке из 5 штук.</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Петли микроб. №2 без держ нихром 10 шт (BR-006-2)</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Используются для взятия и переноса микробных культур в процессе подготовки проб для посева и анализа. Предназначены для многократного циклического использования. Выпускаются диаметром от 0 до 5 мм в упаковке из 5 штук.</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Петли микроб. №5 без держ нихром 10 шт (BR-006-5)</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Используются для взятия и переноса микробных культур в процессе подготовки проб для посева и анализа. Предназначены для многократного циклического использования. Выпускаются диаметром от 0 до 5 мм в упаковке из 5 штук.</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Тампон (сваб) пластик-вискоза с транспортной средой AMIES без угля стер. 100 шт (18000740)</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Используются для взятия, хранения и транспортировки биоматериала. Зонд-тампон с биологитческим материалом погружается в полужидкий агаровый столбик пробирки.Выпускаются в пробирках, в упаковке 100 штук.</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Чашка Петри 100 х 20, толщ. 3 мм, стекло ТУ 9464-021-29508133-2016, уп. 36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Стеклянное изделие 100*20, толщиной 3 мм предназначены дл яразлива питательных сред при бактериологических исследования. Выпускаются в упаковках по 36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Контейнер лабораторный для взятия проб по ТУ 9464-018-29508133-2014, 60 мл, с завинч крышкой и ложкой, стер., п/п, инд уп (12003028)</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Контейнер пластиковые обьемом 60 мл в индивидуальной упаковке, стерильный предназначен для забора про и транспортирования в лабораторию.</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Набор реагентов «Диагностикум эритроцитрарный сальмонеллезный Ви-антигенный жидкий «Набор на 8 тестов. Объем диагностикума  на 24 теста. (Био-Диагностика)</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Предназначен для выявления в сыворотке крови человека специфических антител к Ви-антигену сальмонелл тифи в реакции пассивной гемагглютинации (РПГА). Выпускается в ампулах, набором в картонной коробке.</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амикацином (амикином, ликацином) 30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амоксиклавом 20/10 мкг, 50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бацитрацином 0,04 ЕД 1 фл х 50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гентамицином 10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доксициклином 30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имипенемом (тиенамом, примоксином) 10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левофлоксацином 5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меропенемом (мероненом) 10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оптохиноном 1 фл х 100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фосфомицином 200 мкг 1 фл х 50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Дисики с кефзолом (цефазолином) 30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цефиксимом 5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клафораном (цефотаксимом) 30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цефтриаксоном (лонгацефом) 30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ципрофлоксацином (ципробаем) 5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канамицином 30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моксифлоксацином (авелокссом) 5 мкг 1 фл х 100 шт</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нетимицином 30 мкг 1 фл х 100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амфотерецином В 40 мкг 1 фл х 100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итраконазолом 10 мкг 1 фл х 100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кетоконазолом 20 мкг 1 фл х 100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клотримазолом 10 мкг 1 фл х 100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нистатином 80 ЕД 1фл х 100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top w:val="single" w:sz="4" w:space="0" w:color="000000"/>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Диски с флуконазолом 40 мкг 1 фл х 100 шт (НИЦФ)</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Диски индикаторные картонные с противомикробными лекарственными средствами для определения чувствительности к противомикробным препаратам диск-диффузным методом. В стеклянном флаконе картонные диски по 100 шт.</w:t>
            </w:r>
          </w:p>
        </w:tc>
      </w:tr>
      <w:tr w:rsidR="004F08CE" w:rsidRPr="00CE1CC2" w:rsidTr="004F08CE">
        <w:tc>
          <w:tcPr>
            <w:tcW w:w="757" w:type="dxa"/>
            <w:tcBorders>
              <w:left w:val="single" w:sz="4" w:space="0" w:color="000000"/>
              <w:bottom w:val="single" w:sz="4" w:space="0" w:color="000000"/>
            </w:tcBorders>
            <w:shd w:val="clear" w:color="auto" w:fill="auto"/>
            <w:vAlign w:val="center"/>
          </w:tcPr>
          <w:p w:rsidR="004F08CE" w:rsidRPr="004F08CE" w:rsidRDefault="004F08CE" w:rsidP="004F08CE">
            <w:pPr>
              <w:pStyle w:val="aff2"/>
              <w:numPr>
                <w:ilvl w:val="0"/>
                <w:numId w:val="38"/>
              </w:numPr>
              <w:snapToGrid w:val="0"/>
              <w:jc w:val="center"/>
              <w:rPr>
                <w:sz w:val="22"/>
                <w:szCs w:val="22"/>
              </w:rPr>
            </w:pPr>
          </w:p>
        </w:tc>
        <w:tc>
          <w:tcPr>
            <w:tcW w:w="5358" w:type="dxa"/>
            <w:tcBorders>
              <w:top w:val="nil"/>
              <w:left w:val="single" w:sz="4" w:space="0" w:color="000000"/>
              <w:bottom w:val="single" w:sz="4" w:space="0" w:color="000000"/>
              <w:right w:val="single" w:sz="4" w:space="0" w:color="000000"/>
            </w:tcBorders>
            <w:shd w:val="clear" w:color="FFFFFF" w:fill="FFFFFF"/>
          </w:tcPr>
          <w:p w:rsidR="004F08CE" w:rsidRDefault="004F08CE" w:rsidP="004F08CE">
            <w:pPr>
              <w:rPr>
                <w:color w:val="000000"/>
                <w:sz w:val="22"/>
                <w:szCs w:val="22"/>
              </w:rPr>
            </w:pPr>
            <w:r>
              <w:rPr>
                <w:color w:val="000000"/>
                <w:sz w:val="22"/>
                <w:szCs w:val="22"/>
              </w:rPr>
              <w:t>Маннит 250 г (Оболенск)</w:t>
            </w:r>
          </w:p>
        </w:tc>
        <w:tc>
          <w:tcPr>
            <w:tcW w:w="8675" w:type="dxa"/>
            <w:tcBorders>
              <w:top w:val="nil"/>
              <w:left w:val="single" w:sz="4" w:space="0" w:color="000000"/>
              <w:bottom w:val="single" w:sz="4" w:space="0" w:color="000000"/>
              <w:right w:val="single" w:sz="4" w:space="0" w:color="000000"/>
            </w:tcBorders>
            <w:shd w:val="clear" w:color="FFFFFF" w:fill="FFFFFF"/>
            <w:vAlign w:val="center"/>
          </w:tcPr>
          <w:p w:rsidR="004F08CE" w:rsidRDefault="004F08CE" w:rsidP="004F08CE">
            <w:pPr>
              <w:jc w:val="center"/>
              <w:rPr>
                <w:color w:val="000000"/>
                <w:sz w:val="22"/>
                <w:szCs w:val="22"/>
              </w:rPr>
            </w:pPr>
            <w:r>
              <w:rPr>
                <w:color w:val="000000"/>
                <w:sz w:val="22"/>
                <w:szCs w:val="22"/>
              </w:rPr>
              <w:t>Рекомендован в качестве селективной добавки для выделения клинически значимых культур стафилококков. Является ферментируемым и дифференцирующим субстратом, а также источником углерода. Сухой порошок в пластиковой банке 250г</w:t>
            </w:r>
          </w:p>
        </w:tc>
      </w:tr>
    </w:tbl>
    <w:p w:rsidR="00E93AF5" w:rsidRDefault="00E93AF5" w:rsidP="00E16920">
      <w:pPr>
        <w:ind w:firstLine="708"/>
        <w:contextualSpacing/>
        <w:rPr>
          <w:sz w:val="22"/>
          <w:szCs w:val="22"/>
        </w:rPr>
      </w:pPr>
    </w:p>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lastRenderedPageBreak/>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lastRenderedPageBreak/>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bookmarkStart w:id="6" w:name="_GoBack"/>
            <w:bookmarkEnd w:id="6"/>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93AF5" w:rsidRPr="00E93AF5"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E93AF5" w:rsidRPr="00E93AF5" w:rsidRDefault="00E93AF5" w:rsidP="00E93AF5">
            <w:r w:rsidRPr="00E93AF5">
              <w:t>Сроки  поставки</w:t>
            </w:r>
          </w:p>
          <w:p w:rsidR="00E93AF5" w:rsidRPr="00E93AF5" w:rsidRDefault="00E93AF5" w:rsidP="00E93AF5">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4F08CE" w:rsidRPr="004F08CE" w:rsidRDefault="00E93AF5" w:rsidP="004F08CE">
            <w:pPr>
              <w:widowControl w:val="0"/>
              <w:suppressAutoHyphens/>
              <w:rPr>
                <w:rFonts w:eastAsia="Andale Sans UI"/>
                <w:bCs/>
                <w:kern w:val="1"/>
              </w:rPr>
            </w:pPr>
            <w:r w:rsidRPr="00646BCA">
              <w:rPr>
                <w:rFonts w:eastAsia="Andale Sans UI"/>
                <w:bCs/>
                <w:kern w:val="1"/>
              </w:rPr>
              <w:t>Срок поставки –</w:t>
            </w:r>
            <w:r w:rsidR="004F08CE">
              <w:t xml:space="preserve"> о</w:t>
            </w:r>
            <w:r w:rsidR="004F08CE" w:rsidRPr="004F08CE">
              <w:rPr>
                <w:rFonts w:eastAsia="Andale Sans UI"/>
                <w:bCs/>
                <w:kern w:val="1"/>
              </w:rPr>
              <w:t>бъем и срок поставки каждой партии Товара определяется</w:t>
            </w:r>
          </w:p>
          <w:p w:rsidR="00E93AF5" w:rsidRPr="00483B9A" w:rsidRDefault="004F08CE" w:rsidP="004F08CE">
            <w:pPr>
              <w:widowControl w:val="0"/>
              <w:suppressAutoHyphens/>
              <w:rPr>
                <w:rFonts w:eastAsia="Andale Sans UI"/>
                <w:bCs/>
                <w:kern w:val="1"/>
              </w:rPr>
            </w:pPr>
            <w:r w:rsidRPr="004F08CE">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E93AF5"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5. Форма, сроки и порядок оплаты</w:t>
            </w:r>
          </w:p>
        </w:tc>
      </w:tr>
      <w:tr w:rsidR="00E93AF5"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E93AF5" w:rsidRDefault="00483B9A" w:rsidP="00E93AF5">
            <w:pPr>
              <w:jc w:val="both"/>
              <w:rPr>
                <w:kern w:val="1"/>
                <w:sz w:val="22"/>
                <w:szCs w:val="22"/>
                <w:lang w:val="x-none" w:eastAsia="hi-IN" w:bidi="hi-IN"/>
              </w:rPr>
            </w:pPr>
            <w:r w:rsidRPr="00A97C2D">
              <w:rPr>
                <w:kern w:val="1"/>
                <w:sz w:val="22"/>
                <w:szCs w:val="22"/>
                <w:lang w:val="x-none" w:eastAsia="hi-IN" w:bidi="hi-IN"/>
              </w:rPr>
              <w:t>Оплата Товара производится Покупателем путем перечисления</w:t>
            </w:r>
            <w:r>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A97C2D">
              <w:rPr>
                <w:kern w:val="1"/>
                <w:sz w:val="22"/>
                <w:szCs w:val="22"/>
                <w:lang w:val="x-none" w:eastAsia="hi-IN" w:bidi="hi-IN"/>
              </w:rPr>
              <w:t xml:space="preserve"> </w:t>
            </w:r>
          </w:p>
          <w:p w:rsidR="00FD7D18" w:rsidRPr="00483B9A" w:rsidRDefault="00FD7D18" w:rsidP="00E93AF5">
            <w:pPr>
              <w:jc w:val="both"/>
            </w:pPr>
          </w:p>
        </w:tc>
      </w:tr>
      <w:tr w:rsidR="00E93AF5"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lastRenderedPageBreak/>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CDC" w:rsidRDefault="00912CDC">
      <w:r>
        <w:separator/>
      </w:r>
    </w:p>
  </w:endnote>
  <w:endnote w:type="continuationSeparator" w:id="0">
    <w:p w:rsidR="00912CDC" w:rsidRDefault="0091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CE" w:rsidRDefault="004F08C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F08CE" w:rsidRDefault="004F08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CE" w:rsidRDefault="004F08C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4F08CE" w:rsidRDefault="004F08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CDC" w:rsidRDefault="00912CDC">
      <w:r>
        <w:separator/>
      </w:r>
    </w:p>
  </w:footnote>
  <w:footnote w:type="continuationSeparator" w:id="0">
    <w:p w:rsidR="00912CDC" w:rsidRDefault="00912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2"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4"/>
  </w:num>
  <w:num w:numId="3">
    <w:abstractNumId w:val="33"/>
  </w:num>
  <w:num w:numId="4">
    <w:abstractNumId w:val="11"/>
  </w:num>
  <w:num w:numId="5">
    <w:abstractNumId w:val="0"/>
  </w:num>
  <w:num w:numId="6">
    <w:abstractNumId w:val="21"/>
  </w:num>
  <w:num w:numId="7">
    <w:abstractNumId w:val="22"/>
  </w:num>
  <w:num w:numId="8">
    <w:abstractNumId w:val="23"/>
  </w:num>
  <w:num w:numId="9">
    <w:abstractNumId w:val="26"/>
  </w:num>
  <w:num w:numId="10">
    <w:abstractNumId w:val="29"/>
  </w:num>
  <w:num w:numId="11">
    <w:abstractNumId w:val="19"/>
  </w:num>
  <w:num w:numId="12">
    <w:abstractNumId w:val="32"/>
  </w:num>
  <w:num w:numId="13">
    <w:abstractNumId w:val="2"/>
  </w:num>
  <w:num w:numId="14">
    <w:abstractNumId w:val="17"/>
  </w:num>
  <w:num w:numId="15">
    <w:abstractNumId w:val="18"/>
  </w:num>
  <w:num w:numId="16">
    <w:abstractNumId w:val="13"/>
  </w:num>
  <w:num w:numId="17">
    <w:abstractNumId w:val="27"/>
  </w:num>
  <w:num w:numId="18">
    <w:abstractNumId w:val="15"/>
  </w:num>
  <w:num w:numId="19">
    <w:abstractNumId w:val="35"/>
  </w:num>
  <w:num w:numId="20">
    <w:abstractNumId w:val="8"/>
  </w:num>
  <w:num w:numId="21">
    <w:abstractNumId w:val="37"/>
  </w:num>
  <w:num w:numId="22">
    <w:abstractNumId w:val="28"/>
  </w:num>
  <w:num w:numId="23">
    <w:abstractNumId w:val="16"/>
  </w:num>
  <w:num w:numId="24">
    <w:abstractNumId w:val="36"/>
  </w:num>
  <w:num w:numId="25">
    <w:abstractNumId w:val="12"/>
  </w:num>
  <w:num w:numId="26">
    <w:abstractNumId w:val="3"/>
  </w:num>
  <w:num w:numId="27">
    <w:abstractNumId w:val="9"/>
  </w:num>
  <w:num w:numId="28">
    <w:abstractNumId w:val="24"/>
  </w:num>
  <w:num w:numId="29">
    <w:abstractNumId w:val="10"/>
  </w:num>
  <w:num w:numId="30">
    <w:abstractNumId w:val="20"/>
  </w:num>
  <w:num w:numId="31">
    <w:abstractNumId w:val="31"/>
  </w:num>
  <w:num w:numId="32">
    <w:abstractNumId w:val="14"/>
  </w:num>
  <w:num w:numId="33">
    <w:abstractNumId w:val="7"/>
  </w:num>
  <w:num w:numId="34">
    <w:abstractNumId w:val="6"/>
  </w:num>
  <w:num w:numId="35">
    <w:abstractNumId w:val="30"/>
  </w:num>
  <w:num w:numId="36">
    <w:abstractNumId w:val="1"/>
  </w:num>
  <w:num w:numId="37">
    <w:abstractNumId w:val="4"/>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372E"/>
    <w:rsid w:val="004D3C1F"/>
    <w:rsid w:val="004D6066"/>
    <w:rsid w:val="004D7517"/>
    <w:rsid w:val="004E0ACB"/>
    <w:rsid w:val="004E21BC"/>
    <w:rsid w:val="004F08CE"/>
    <w:rsid w:val="004F55E5"/>
    <w:rsid w:val="004F5D07"/>
    <w:rsid w:val="00502F6B"/>
    <w:rsid w:val="005030CB"/>
    <w:rsid w:val="005032AE"/>
    <w:rsid w:val="00505086"/>
    <w:rsid w:val="00505A8A"/>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90535"/>
    <w:rsid w:val="00695B63"/>
    <w:rsid w:val="006A5AE8"/>
    <w:rsid w:val="006A62C5"/>
    <w:rsid w:val="006A6B40"/>
    <w:rsid w:val="006B089A"/>
    <w:rsid w:val="006B2CDB"/>
    <w:rsid w:val="006B404B"/>
    <w:rsid w:val="006B7D02"/>
    <w:rsid w:val="006C06B8"/>
    <w:rsid w:val="006C110A"/>
    <w:rsid w:val="006C5711"/>
    <w:rsid w:val="006E017A"/>
    <w:rsid w:val="006E6C43"/>
    <w:rsid w:val="006E76DD"/>
    <w:rsid w:val="006F0D5C"/>
    <w:rsid w:val="0070022C"/>
    <w:rsid w:val="007002D2"/>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BFC"/>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7D30"/>
    <w:rsid w:val="00C91074"/>
    <w:rsid w:val="00C94A73"/>
    <w:rsid w:val="00CA3745"/>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66AF5"/>
    <w:rsid w:val="00D74CAC"/>
    <w:rsid w:val="00D7628E"/>
    <w:rsid w:val="00D90C00"/>
    <w:rsid w:val="00D918DD"/>
    <w:rsid w:val="00D91CDD"/>
    <w:rsid w:val="00D95DE5"/>
    <w:rsid w:val="00DA53DE"/>
    <w:rsid w:val="00DB1638"/>
    <w:rsid w:val="00DB1E59"/>
    <w:rsid w:val="00DB5D20"/>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C1743"/>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EEF83BA23A828AD0CA95920CBEA6FD2C45F7994077B296B8D4AB2E76479E8CBD7047B75745751BEl810Q"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http://www.nalog.ru" TargetMode="External"/><Relationship Id="rId10" Type="http://schemas.openxmlformats.org/officeDocument/2006/relationships/hyperlink" Target="http://www.ob-ulyanovsk.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s://ofd.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A7E53"/>
    <w:rsid w:val="00370702"/>
    <w:rsid w:val="003A45C9"/>
    <w:rsid w:val="00464C8D"/>
    <w:rsid w:val="00472B2E"/>
    <w:rsid w:val="00866650"/>
    <w:rsid w:val="009C2D3A"/>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63D2D-B82B-49C2-9168-713D3B45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14123</Words>
  <Characters>80505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94440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2021-02-04T12:32:00Z</cp:lastPrinted>
  <dcterms:created xsi:type="dcterms:W3CDTF">2021-04-05T05:52:00Z</dcterms:created>
  <dcterms:modified xsi:type="dcterms:W3CDTF">2021-04-05T07:07:00Z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