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CA54DD">
        <w:t>116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68515452"/>
      <w:bookmarkEnd w:id="0"/>
      <w:r w:rsidR="00CA54DD">
        <w:t>компьютеров, комплектующих и оргтехники</w:t>
      </w:r>
      <w:bookmarkEnd w:id="1"/>
      <w:r w:rsidR="00CA54DD">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A54DD" w:rsidRDefault="00883C56" w:rsidP="00883C56">
      <w:pPr>
        <w:ind w:firstLine="709"/>
        <w:contextualSpacing/>
        <w:jc w:val="both"/>
      </w:pPr>
      <w:r w:rsidRPr="00883C56">
        <w:rPr>
          <w:lang w:val="en-US"/>
        </w:rPr>
        <w:t>E</w:t>
      </w:r>
      <w:r w:rsidRPr="00CA54DD">
        <w:t>-</w:t>
      </w:r>
      <w:r w:rsidRPr="00883C56">
        <w:rPr>
          <w:lang w:val="en-US"/>
        </w:rPr>
        <w:t>mail</w:t>
      </w:r>
      <w:r w:rsidRPr="00CA54DD">
        <w:t>:</w:t>
      </w:r>
      <w:r w:rsidRPr="00CA54DD">
        <w:rPr>
          <w:bCs/>
        </w:rPr>
        <w:t xml:space="preserve"> </w:t>
      </w:r>
      <w:hyperlink r:id="rId9" w:history="1">
        <w:r w:rsidRPr="00883C56">
          <w:rPr>
            <w:color w:val="000000"/>
            <w:kern w:val="1"/>
            <w:lang w:val="en-US"/>
          </w:rPr>
          <w:t>nvsb</w:t>
        </w:r>
        <w:r w:rsidRPr="00CA54DD">
          <w:rPr>
            <w:color w:val="000000"/>
            <w:kern w:val="1"/>
          </w:rPr>
          <w:t>5@</w:t>
        </w:r>
        <w:r w:rsidRPr="00883C56">
          <w:rPr>
            <w:color w:val="000000"/>
            <w:kern w:val="1"/>
            <w:lang w:val="en-US"/>
          </w:rPr>
          <w:t>mail</w:t>
        </w:r>
        <w:r w:rsidRPr="00CA54DD">
          <w:rPr>
            <w:color w:val="000000"/>
            <w:kern w:val="1"/>
          </w:rPr>
          <w:t>.</w:t>
        </w:r>
        <w:proofErr w:type="spellStart"/>
        <w:r w:rsidRPr="00883C56">
          <w:rPr>
            <w:color w:val="000000"/>
            <w:kern w:val="1"/>
            <w:lang w:val="en-US"/>
          </w:rPr>
          <w:t>ru</w:t>
        </w:r>
        <w:proofErr w:type="spellEnd"/>
      </w:hyperlink>
      <w:r w:rsidRPr="00CA54DD">
        <w:rPr>
          <w:bCs/>
        </w:rPr>
        <w:t xml:space="preserve">, </w:t>
      </w:r>
      <w:r w:rsidRPr="00883C56">
        <w:t>тел</w:t>
      </w:r>
      <w:r w:rsidRPr="00CA54DD">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883C56" w:rsidRDefault="00883C56" w:rsidP="00883C56">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Start w:id="3" w:name="_Hlk68515474"/>
      <w:r w:rsidR="00CA54DD">
        <w:t>компьютеров, комплектующих и оргтехники.</w:t>
      </w:r>
    </w:p>
    <w:bookmarkEnd w:id="2"/>
    <w:bookmarkEnd w:id="3"/>
    <w:p w:rsidR="008D6BD8" w:rsidRPr="00883C56" w:rsidRDefault="008D6BD8"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w:t>
      </w:r>
      <w:r w:rsidR="009C7BFC">
        <w:t xml:space="preserve"> </w:t>
      </w:r>
      <w:r w:rsidR="00CA54DD" w:rsidRPr="00CA54DD">
        <w:t>компьютер</w:t>
      </w:r>
      <w:r w:rsidR="00CA54DD">
        <w:t>ы</w:t>
      </w:r>
      <w:r w:rsidR="00CA54DD" w:rsidRPr="00CA54DD">
        <w:t>, комплектующи</w:t>
      </w:r>
      <w:r w:rsidR="00CA54DD">
        <w:t>е</w:t>
      </w:r>
      <w:r w:rsidR="00CA54DD" w:rsidRPr="00CA54DD">
        <w:t xml:space="preserve"> и оргтехник</w:t>
      </w:r>
      <w:r w:rsidR="00CA54DD">
        <w:t xml:space="preserve">а, </w:t>
      </w:r>
      <w:r w:rsidR="00A97C2D">
        <w:t>в количестве, указанном в техническом задании.</w:t>
      </w:r>
      <w:r w:rsidR="00883C56">
        <w:t xml:space="preserve"> </w:t>
      </w:r>
    </w:p>
    <w:p w:rsidR="00A97C2D" w:rsidRPr="00A97C2D" w:rsidRDefault="00883C56" w:rsidP="00A97C2D">
      <w:pPr>
        <w:jc w:val="both"/>
        <w:rPr>
          <w:rFonts w:eastAsiaTheme="minorEastAsia"/>
        </w:rPr>
      </w:pPr>
      <w:r w:rsidRPr="00883C56">
        <w:rPr>
          <w:rFonts w:eastAsiaTheme="minorEastAsia"/>
        </w:rPr>
        <w:t>Начальная максимальная цена договора –</w:t>
      </w:r>
      <w:r w:rsidR="00A97C2D" w:rsidRPr="00A97C2D">
        <w:rPr>
          <w:rFonts w:eastAsiaTheme="minorEastAsia"/>
          <w:b/>
          <w:bCs/>
        </w:rPr>
        <w:t>2</w:t>
      </w:r>
      <w:r w:rsidR="00CA54DD">
        <w:rPr>
          <w:rFonts w:eastAsiaTheme="minorEastAsia"/>
          <w:b/>
          <w:bCs/>
        </w:rPr>
        <w:t>45 656</w:t>
      </w:r>
      <w:r w:rsidR="00A97C2D" w:rsidRPr="00A97C2D">
        <w:rPr>
          <w:rFonts w:eastAsiaTheme="minorEastAsia"/>
          <w:b/>
          <w:bCs/>
        </w:rPr>
        <w:t xml:space="preserve"> рублей (Двести </w:t>
      </w:r>
      <w:r w:rsidR="00CA54DD">
        <w:rPr>
          <w:rFonts w:eastAsiaTheme="minorEastAsia"/>
          <w:b/>
          <w:bCs/>
        </w:rPr>
        <w:t>сорок пять</w:t>
      </w:r>
      <w:r w:rsidR="00A97C2D" w:rsidRPr="00A97C2D">
        <w:rPr>
          <w:rFonts w:eastAsiaTheme="minorEastAsia"/>
          <w:b/>
          <w:bCs/>
        </w:rPr>
        <w:t xml:space="preserve"> тысяч</w:t>
      </w:r>
      <w:r w:rsidR="00CA54DD">
        <w:rPr>
          <w:rFonts w:eastAsiaTheme="minorEastAsia"/>
          <w:b/>
          <w:bCs/>
        </w:rPr>
        <w:t xml:space="preserve"> шестьсот пятьдесят шесть</w:t>
      </w:r>
      <w:r w:rsidR="00A97C2D" w:rsidRPr="00A97C2D">
        <w:rPr>
          <w:rFonts w:eastAsiaTheme="minorEastAsia"/>
          <w:b/>
          <w:bCs/>
        </w:rPr>
        <w:t xml:space="preserve">) рублей </w:t>
      </w:r>
      <w:r w:rsidR="00CA54DD">
        <w:rPr>
          <w:rFonts w:eastAsiaTheme="minorEastAsia"/>
          <w:b/>
          <w:bCs/>
        </w:rPr>
        <w:t>80</w:t>
      </w:r>
      <w:r w:rsidR="00A97C2D" w:rsidRPr="00A97C2D">
        <w:rPr>
          <w:rFonts w:eastAsiaTheme="minorEastAsia"/>
          <w:b/>
          <w:bCs/>
        </w:rPr>
        <w:t xml:space="preserve"> копеек </w:t>
      </w:r>
      <w:r w:rsidR="00A97C2D" w:rsidRPr="00A97C2D">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w:t>
      </w:r>
      <w:proofErr w:type="spellStart"/>
      <w:r w:rsidRPr="006B404B">
        <w:t>неприостановление</w:t>
      </w:r>
      <w:proofErr w:type="spellEnd"/>
      <w:r w:rsidRPr="006B404B">
        <w:t xml:space="preserve">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DC0B2B" w:rsidRDefault="006B404B" w:rsidP="006B404B">
      <w:pPr>
        <w:pStyle w:val="aff2"/>
        <w:numPr>
          <w:ilvl w:val="0"/>
          <w:numId w:val="5"/>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DC0B2B">
        <w:rPr>
          <w:sz w:val="22"/>
          <w:szCs w:val="22"/>
        </w:rPr>
        <w:t xml:space="preserve">механических, химических и </w:t>
      </w:r>
      <w:r w:rsidRPr="00DC0B2B">
        <w:rPr>
          <w:spacing w:val="2"/>
          <w:sz w:val="22"/>
          <w:szCs w:val="22"/>
        </w:rPr>
        <w:t>климатических факторов во время транспортирования и хранения поставляемого товара</w:t>
      </w:r>
    </w:p>
    <w:p w:rsidR="00A97C2D" w:rsidRPr="00DC0B2B" w:rsidRDefault="006B404B" w:rsidP="00A97C2D">
      <w:pPr>
        <w:pStyle w:val="aff2"/>
        <w:numPr>
          <w:ilvl w:val="0"/>
          <w:numId w:val="5"/>
        </w:numPr>
        <w:ind w:left="426"/>
        <w:jc w:val="both"/>
        <w:rPr>
          <w:sz w:val="22"/>
          <w:szCs w:val="22"/>
          <w:lang w:val="x-none" w:eastAsia="x-none"/>
        </w:rPr>
      </w:pPr>
      <w:r w:rsidRPr="00DC0B2B">
        <w:rPr>
          <w:b/>
          <w:bCs/>
          <w:sz w:val="22"/>
          <w:szCs w:val="22"/>
        </w:rPr>
        <w:t xml:space="preserve">Сроки и условия поставки товаров: </w:t>
      </w:r>
      <w:r w:rsidR="00A97C2D" w:rsidRPr="00DC0B2B">
        <w:rPr>
          <w:sz w:val="22"/>
          <w:szCs w:val="22"/>
          <w:lang w:val="x-none" w:eastAsia="x-none"/>
        </w:rPr>
        <w:t>Объем и срок поставки каждой партии Товара определяется</w:t>
      </w:r>
    </w:p>
    <w:p w:rsidR="00A97C2D" w:rsidRPr="00DC0B2B" w:rsidRDefault="00A97C2D" w:rsidP="00A97C2D">
      <w:pPr>
        <w:ind w:left="426"/>
        <w:jc w:val="both"/>
        <w:rPr>
          <w:sz w:val="22"/>
          <w:szCs w:val="22"/>
        </w:rPr>
      </w:pPr>
      <w:r w:rsidRPr="00DC0B2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DC0B2B" w:rsidRDefault="00A97C2D" w:rsidP="00A97C2D">
      <w:pPr>
        <w:jc w:val="both"/>
        <w:rPr>
          <w:spacing w:val="-9"/>
          <w:sz w:val="22"/>
          <w:szCs w:val="22"/>
        </w:rPr>
      </w:pPr>
    </w:p>
    <w:p w:rsidR="006B404B" w:rsidRPr="00DC0B2B" w:rsidRDefault="00A97C2D" w:rsidP="006B404B">
      <w:pPr>
        <w:pStyle w:val="aff2"/>
        <w:numPr>
          <w:ilvl w:val="0"/>
          <w:numId w:val="5"/>
        </w:numPr>
        <w:ind w:left="426"/>
        <w:jc w:val="both"/>
        <w:rPr>
          <w:spacing w:val="-9"/>
          <w:sz w:val="22"/>
          <w:szCs w:val="22"/>
        </w:rPr>
      </w:pPr>
      <w:r w:rsidRPr="00DC0B2B">
        <w:rPr>
          <w:b/>
          <w:bCs/>
          <w:sz w:val="22"/>
          <w:szCs w:val="22"/>
        </w:rPr>
        <w:t>С</w:t>
      </w:r>
      <w:r w:rsidR="006B404B" w:rsidRPr="00DC0B2B">
        <w:rPr>
          <w:b/>
          <w:bCs/>
          <w:sz w:val="22"/>
          <w:szCs w:val="22"/>
        </w:rPr>
        <w:t xml:space="preserve">тоимость товаров должна </w:t>
      </w:r>
      <w:proofErr w:type="gramStart"/>
      <w:r w:rsidR="006B404B" w:rsidRPr="00DC0B2B">
        <w:rPr>
          <w:b/>
          <w:bCs/>
          <w:sz w:val="22"/>
          <w:szCs w:val="22"/>
        </w:rPr>
        <w:t>включать:</w:t>
      </w:r>
      <w:r w:rsidR="006B404B" w:rsidRPr="00DC0B2B">
        <w:rPr>
          <w:sz w:val="22"/>
          <w:szCs w:val="22"/>
        </w:rPr>
        <w:t xml:space="preserve">  Все</w:t>
      </w:r>
      <w:proofErr w:type="gramEnd"/>
      <w:r w:rsidR="006B404B" w:rsidRPr="00DC0B2B">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DC0B2B" w:rsidRDefault="006B404B" w:rsidP="00A97C2D">
      <w:pPr>
        <w:pStyle w:val="aff2"/>
        <w:numPr>
          <w:ilvl w:val="0"/>
          <w:numId w:val="5"/>
        </w:numPr>
        <w:ind w:left="426"/>
        <w:jc w:val="both"/>
        <w:rPr>
          <w:b/>
          <w:bCs/>
          <w:sz w:val="22"/>
          <w:szCs w:val="22"/>
          <w:lang w:val="x-none" w:eastAsia="x-none"/>
        </w:rPr>
      </w:pPr>
      <w:r w:rsidRPr="00DC0B2B">
        <w:rPr>
          <w:b/>
          <w:bCs/>
          <w:sz w:val="22"/>
          <w:szCs w:val="22"/>
        </w:rPr>
        <w:t xml:space="preserve">Срок и условия оплаты: </w:t>
      </w:r>
      <w:r w:rsidR="00A97C2D" w:rsidRPr="00DC0B2B">
        <w:rPr>
          <w:kern w:val="1"/>
          <w:sz w:val="22"/>
          <w:szCs w:val="22"/>
          <w:lang w:val="x-none" w:eastAsia="hi-IN" w:bidi="hi-IN"/>
        </w:rPr>
        <w:t xml:space="preserve">Оплата Товара производится Покупателем путем перечисления </w:t>
      </w:r>
      <w:r w:rsidR="00CA54DD" w:rsidRPr="00DC0B2B">
        <w:rPr>
          <w:kern w:val="1"/>
          <w:sz w:val="22"/>
          <w:szCs w:val="22"/>
          <w:lang w:eastAsia="hi-IN" w:bidi="hi-IN"/>
        </w:rPr>
        <w:t>денежных средств на расчетный счет Поставщика после принятия и поставки товара в течение 15 рабочих дней.</w:t>
      </w:r>
    </w:p>
    <w:p w:rsidR="006B404B" w:rsidRPr="00A97C2D" w:rsidRDefault="006B404B" w:rsidP="00A97C2D">
      <w:pPr>
        <w:pStyle w:val="aff2"/>
        <w:numPr>
          <w:ilvl w:val="0"/>
          <w:numId w:val="5"/>
        </w:numPr>
        <w:ind w:left="426"/>
        <w:jc w:val="both"/>
        <w:rPr>
          <w:b/>
          <w:bCs/>
          <w:color w:val="000000" w:themeColor="text1"/>
          <w:sz w:val="22"/>
          <w:szCs w:val="22"/>
        </w:rPr>
      </w:pPr>
      <w:r w:rsidRPr="00DC0B2B">
        <w:rPr>
          <w:b/>
          <w:bCs/>
          <w:sz w:val="22"/>
          <w:szCs w:val="22"/>
        </w:rPr>
        <w:t xml:space="preserve">Особые условия: </w:t>
      </w:r>
      <w:r w:rsidRPr="00DC0B2B">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DC0B2B">
        <w:rPr>
          <w:bCs/>
          <w:sz w:val="22"/>
          <w:szCs w:val="22"/>
          <w:u w:val="single"/>
        </w:rPr>
        <w:t>не должен быть хуже,</w:t>
      </w:r>
      <w:r w:rsidRPr="00DC0B2B">
        <w:rPr>
          <w:bCs/>
          <w:sz w:val="22"/>
          <w:szCs w:val="22"/>
        </w:rPr>
        <w:t xml:space="preserve"> а по некоторым критериям </w:t>
      </w:r>
      <w:r w:rsidRPr="00A97C2D">
        <w:rPr>
          <w:bCs/>
          <w:color w:val="000000" w:themeColor="text1"/>
          <w:sz w:val="22"/>
          <w:szCs w:val="22"/>
        </w:rPr>
        <w:t>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w:t>
      </w:r>
      <w:proofErr w:type="gramStart"/>
      <w:r w:rsidRPr="00646BCA">
        <w:rPr>
          <w:b/>
          <w:bCs/>
          <w:color w:val="000000" w:themeColor="text1"/>
          <w:sz w:val="22"/>
          <w:szCs w:val="22"/>
        </w:rPr>
        <w:t xml:space="preserve">финансирования:  </w:t>
      </w:r>
      <w:r w:rsidRPr="00646BCA">
        <w:rPr>
          <w:bCs/>
          <w:color w:val="000000" w:themeColor="text1"/>
          <w:sz w:val="22"/>
          <w:szCs w:val="22"/>
        </w:rPr>
        <w:t>доходы</w:t>
      </w:r>
      <w:proofErr w:type="gramEnd"/>
      <w:r w:rsidRPr="00646BCA">
        <w:rPr>
          <w:bCs/>
          <w:color w:val="000000" w:themeColor="text1"/>
          <w:sz w:val="22"/>
          <w:szCs w:val="22"/>
        </w:rPr>
        <w:t>,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w:t>
      </w:r>
      <w:bookmarkStart w:id="4" w:name="_GoBack"/>
      <w:bookmarkEnd w:id="4"/>
      <w:r>
        <w:rPr>
          <w:sz w:val="22"/>
          <w:szCs w:val="22"/>
        </w:rPr>
        <w:t>ицина» г. Ульяновск» – 432012</w:t>
      </w:r>
      <w:r w:rsidRPr="004A7484">
        <w:rPr>
          <w:sz w:val="22"/>
          <w:szCs w:val="22"/>
        </w:rPr>
        <w:t xml:space="preserve">, г. </w:t>
      </w:r>
      <w:proofErr w:type="gramStart"/>
      <w:r>
        <w:rPr>
          <w:sz w:val="22"/>
          <w:szCs w:val="22"/>
        </w:rPr>
        <w:t>Ульяновск,  улица</w:t>
      </w:r>
      <w:proofErr w:type="gramEnd"/>
      <w:r>
        <w:rPr>
          <w:sz w:val="22"/>
          <w:szCs w:val="22"/>
        </w:rPr>
        <w:t xml:space="preserve">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A97C2D">
        <w:rPr>
          <w:b/>
          <w:bCs/>
          <w:lang w:eastAsia="x-none"/>
        </w:rPr>
        <w:t>05</w:t>
      </w:r>
      <w:r w:rsidRPr="006B404B">
        <w:rPr>
          <w:b/>
          <w:bCs/>
          <w:lang w:val="x-none" w:eastAsia="x-none"/>
        </w:rPr>
        <w:t>.0</w:t>
      </w:r>
      <w:r w:rsidR="00A97C2D">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9C7BFC">
        <w:rPr>
          <w:b/>
          <w:bCs/>
          <w:lang w:eastAsia="x-none"/>
        </w:rPr>
        <w:t>0</w:t>
      </w:r>
      <w:r w:rsidR="00A97C2D">
        <w:rPr>
          <w:b/>
          <w:bCs/>
          <w:lang w:eastAsia="x-none"/>
        </w:rPr>
        <w:t>9</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97C2D">
        <w:rPr>
          <w:b/>
          <w:bCs/>
          <w:lang w:eastAsia="x-none"/>
        </w:rPr>
        <w:t>12</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97C2D">
        <w:rPr>
          <w:b/>
          <w:bCs/>
          <w:lang w:eastAsia="x-none"/>
        </w:rPr>
        <w:t>12</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97C2D">
        <w:rPr>
          <w:b/>
          <w:bCs/>
          <w:lang w:eastAsia="x-none"/>
        </w:rPr>
        <w:t>12</w:t>
      </w:r>
      <w:r w:rsidRPr="006B404B">
        <w:rPr>
          <w:b/>
          <w:bCs/>
          <w:lang w:val="x-none" w:eastAsia="x-none"/>
        </w:rPr>
        <w:t>.0</w:t>
      </w:r>
      <w:r w:rsidR="009F25F0">
        <w:rPr>
          <w:b/>
          <w:bCs/>
          <w:lang w:eastAsia="x-none"/>
        </w:rPr>
        <w:t>4</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w:t>
      </w:r>
      <w:r w:rsidRPr="007969A7">
        <w:rPr>
          <w:bCs/>
          <w:sz w:val="24"/>
          <w:szCs w:val="24"/>
        </w:rPr>
        <w:lastRenderedPageBreak/>
        <w:t>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w:t>
      </w:r>
      <w:r w:rsidRPr="007969A7">
        <w:rPr>
          <w:bCs/>
          <w:sz w:val="24"/>
          <w:szCs w:val="24"/>
        </w:rPr>
        <w:lastRenderedPageBreak/>
        <w:t xml:space="preserve">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w:t>
      </w:r>
      <w:r w:rsidRPr="009F25F0">
        <w:rPr>
          <w:lang w:val="x-none" w:eastAsia="x-none"/>
        </w:rPr>
        <w:lastRenderedPageBreak/>
        <w:t>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w:t>
      </w:r>
      <w:r w:rsidRPr="009F25F0">
        <w:rPr>
          <w:lang w:val="x-none" w:eastAsia="x-none"/>
        </w:rPr>
        <w:lastRenderedPageBreak/>
        <w:t>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D922A1" w:rsidRPr="00D922A1">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lastRenderedPageBreak/>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lastRenderedPageBreak/>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информационная справка, содержащая сведения о владельцах контрагента, включая конечных бенефициаров;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 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w:t>
      </w:r>
      <w:r w:rsidRPr="009F25F0">
        <w:rPr>
          <w:lang w:val="x-none" w:eastAsia="x-none"/>
        </w:rPr>
        <w:lastRenderedPageBreak/>
        <w:t>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w:t>
      </w:r>
      <w:r w:rsidRPr="009F25F0">
        <w:rPr>
          <w:lang w:val="x-none" w:eastAsia="x-none"/>
        </w:rPr>
        <w:lastRenderedPageBreak/>
        <w:t>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6"/>
    <w:p w:rsidR="003D44D1" w:rsidRPr="00CA54DD" w:rsidRDefault="003D44D1" w:rsidP="003D44D1">
      <w:r>
        <w:rPr>
          <w:color w:val="000000"/>
          <w:lang w:val="en-US" w:eastAsia="ar-SA"/>
        </w:rPr>
        <w:t>E</w:t>
      </w:r>
      <w:r w:rsidRPr="00CA54DD">
        <w:rPr>
          <w:color w:val="000000"/>
          <w:lang w:eastAsia="ar-SA"/>
        </w:rPr>
        <w:t>-</w:t>
      </w:r>
      <w:r>
        <w:rPr>
          <w:color w:val="000000"/>
          <w:lang w:val="en-US" w:eastAsia="ar-SA"/>
        </w:rPr>
        <w:t>mail</w:t>
      </w:r>
      <w:r w:rsidRPr="00CA54DD">
        <w:rPr>
          <w:color w:val="000000"/>
          <w:lang w:eastAsia="ar-SA"/>
        </w:rPr>
        <w:t xml:space="preserve">: </w:t>
      </w:r>
      <w:proofErr w:type="spellStart"/>
      <w:r>
        <w:rPr>
          <w:color w:val="000000"/>
          <w:lang w:val="en-US" w:eastAsia="ar-SA"/>
        </w:rPr>
        <w:t>ob</w:t>
      </w:r>
      <w:proofErr w:type="spellEnd"/>
      <w:r w:rsidRPr="00CA54DD">
        <w:rPr>
          <w:color w:val="000000"/>
          <w:lang w:eastAsia="ar-SA"/>
        </w:rPr>
        <w:t>_</w:t>
      </w:r>
      <w:r>
        <w:rPr>
          <w:color w:val="000000"/>
          <w:lang w:val="en-US" w:eastAsia="ar-SA"/>
        </w:rPr>
        <w:t>ul</w:t>
      </w:r>
      <w:r w:rsidRPr="00CA54DD">
        <w:rPr>
          <w:color w:val="000000"/>
          <w:lang w:eastAsia="ar-SA"/>
        </w:rPr>
        <w:t>_</w:t>
      </w:r>
      <w:proofErr w:type="spellStart"/>
      <w:r>
        <w:rPr>
          <w:color w:val="000000"/>
          <w:lang w:val="en-US" w:eastAsia="ar-SA"/>
        </w:rPr>
        <w:t>zakupki</w:t>
      </w:r>
      <w:proofErr w:type="spellEnd"/>
      <w:r w:rsidRPr="00CA54DD">
        <w:rPr>
          <w:color w:val="000000"/>
          <w:lang w:eastAsia="ar-SA"/>
        </w:rPr>
        <w:t>@</w:t>
      </w:r>
      <w:r>
        <w:rPr>
          <w:color w:val="000000"/>
          <w:lang w:val="en-US" w:eastAsia="ar-SA"/>
        </w:rPr>
        <w:t>mail</w:t>
      </w:r>
      <w:r w:rsidRPr="00CA54DD">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Style w:val="af1"/>
        <w:tblW w:w="0" w:type="auto"/>
        <w:tblLook w:val="04A0" w:firstRow="1" w:lastRow="0" w:firstColumn="1" w:lastColumn="0" w:noHBand="0" w:noVBand="1"/>
      </w:tblPr>
      <w:tblGrid>
        <w:gridCol w:w="988"/>
        <w:gridCol w:w="4204"/>
        <w:gridCol w:w="2597"/>
        <w:gridCol w:w="2597"/>
        <w:gridCol w:w="2597"/>
        <w:gridCol w:w="2597"/>
      </w:tblGrid>
      <w:tr w:rsidR="00D66AF5" w:rsidTr="004F08CE">
        <w:tc>
          <w:tcPr>
            <w:tcW w:w="988" w:type="dxa"/>
            <w:tcBorders>
              <w:top w:val="single" w:sz="4" w:space="0" w:color="auto"/>
              <w:left w:val="single" w:sz="4" w:space="0" w:color="auto"/>
              <w:bottom w:val="single" w:sz="4" w:space="0" w:color="auto"/>
              <w:right w:val="single" w:sz="4" w:space="0" w:color="auto"/>
            </w:tcBorders>
            <w:vAlign w:val="center"/>
          </w:tcPr>
          <w:p w:rsidR="00D66AF5" w:rsidRPr="00646BCA" w:rsidRDefault="00D66AF5" w:rsidP="00D66AF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D66AF5" w:rsidRPr="00646BCA" w:rsidRDefault="00D66AF5" w:rsidP="00D66AF5">
            <w:pPr>
              <w:jc w:val="center"/>
              <w:rPr>
                <w:b/>
                <w:bCs/>
              </w:rPr>
            </w:pPr>
            <w:r w:rsidRPr="00646BCA">
              <w:rPr>
                <w:b/>
                <w:bCs/>
              </w:rPr>
              <w:t>Всего с учетом стоимости всех налогов и расходов</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single" w:sz="8" w:space="0" w:color="auto"/>
              <w:left w:val="single" w:sz="8" w:space="0" w:color="auto"/>
              <w:bottom w:val="single" w:sz="8" w:space="0" w:color="auto"/>
              <w:right w:val="single" w:sz="8" w:space="0" w:color="auto"/>
            </w:tcBorders>
            <w:shd w:val="clear" w:color="auto" w:fill="auto"/>
            <w:vAlign w:val="center"/>
          </w:tcPr>
          <w:p w:rsidR="002B1F5F" w:rsidRDefault="002B1F5F" w:rsidP="002B1F5F">
            <w:r>
              <w:t xml:space="preserve">Принтер матричный </w:t>
            </w:r>
            <w:proofErr w:type="spellStart"/>
            <w:r>
              <w:rPr>
                <w:color w:val="333333"/>
              </w:rPr>
              <w:t>Epson</w:t>
            </w:r>
            <w:proofErr w:type="spellEnd"/>
            <w:r>
              <w:rPr>
                <w:color w:val="333333"/>
              </w:rPr>
              <w:t xml:space="preserve"> LX 350</w:t>
            </w:r>
            <w:r>
              <w:t xml:space="preserve"> или эквивалент*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15819,80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15 819,80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Монитор, подключаемый к компьютеру HP 22m [3WL44AA]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8195,80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8 195,80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Системный блок</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24777,60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148 665,60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Клавиатура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536,00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5 360,00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Мышь</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348,00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3 480,00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Аккумуляторная батарея для ИБП</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1186,00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4 744,00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Вентилятор для корпуса системного блока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492,00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4 920,00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 xml:space="preserve">Сканер штрих-кода </w:t>
            </w:r>
            <w:proofErr w:type="spellStart"/>
            <w:r>
              <w:t>Newland</w:t>
            </w:r>
            <w:proofErr w:type="spellEnd"/>
            <w:r>
              <w:t xml:space="preserve"> HR20 </w:t>
            </w:r>
            <w:proofErr w:type="spellStart"/>
            <w:r>
              <w:t>Panga</w:t>
            </w:r>
            <w:proofErr w:type="spellEnd"/>
            <w:r>
              <w:t xml:space="preserve">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4683,80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4 683,80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 xml:space="preserve">Чернила для принтера </w:t>
            </w:r>
            <w:proofErr w:type="spellStart"/>
            <w:r>
              <w:t>Canon</w:t>
            </w:r>
            <w:proofErr w:type="spellEnd"/>
            <w:r>
              <w:t xml:space="preserve"> G1411 (цветные)</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744,00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2 232,00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 xml:space="preserve">Тонер </w:t>
            </w:r>
            <w:proofErr w:type="spellStart"/>
            <w:r>
              <w:t>Pantum</w:t>
            </w:r>
            <w:proofErr w:type="spellEnd"/>
            <w:r>
              <w:t xml:space="preserve"> PC-211RB + чип</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652,00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3 260,00</w:t>
            </w:r>
          </w:p>
        </w:tc>
      </w:tr>
      <w:tr w:rsidR="002B1F5F" w:rsidTr="00803ACB">
        <w:tc>
          <w:tcPr>
            <w:tcW w:w="988" w:type="dxa"/>
          </w:tcPr>
          <w:p w:rsidR="002B1F5F" w:rsidRPr="00D66AF5" w:rsidRDefault="002B1F5F" w:rsidP="002B1F5F">
            <w:pPr>
              <w:pStyle w:val="aff2"/>
              <w:numPr>
                <w:ilvl w:val="0"/>
                <w:numId w:val="37"/>
              </w:numPr>
              <w:rPr>
                <w:sz w:val="22"/>
                <w:szCs w:val="22"/>
              </w:rPr>
            </w:pPr>
          </w:p>
        </w:tc>
        <w:tc>
          <w:tcPr>
            <w:tcW w:w="4204" w:type="dxa"/>
            <w:tcBorders>
              <w:top w:val="nil"/>
              <w:left w:val="single" w:sz="8" w:space="0" w:color="auto"/>
              <w:bottom w:val="single" w:sz="8" w:space="0" w:color="auto"/>
              <w:right w:val="single" w:sz="8" w:space="0" w:color="auto"/>
            </w:tcBorders>
            <w:shd w:val="clear" w:color="auto" w:fill="auto"/>
            <w:vAlign w:val="center"/>
          </w:tcPr>
          <w:p w:rsidR="002B1F5F" w:rsidRDefault="002B1F5F" w:rsidP="002B1F5F">
            <w:r>
              <w:t xml:space="preserve">Проектор </w:t>
            </w:r>
            <w:proofErr w:type="spellStart"/>
            <w:r>
              <w:t>Acer</w:t>
            </w:r>
            <w:proofErr w:type="spellEnd"/>
            <w:r>
              <w:t xml:space="preserve"> H6531BD или эквивалент*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2B1F5F" w:rsidRDefault="002B1F5F" w:rsidP="002B1F5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2B1F5F" w:rsidRDefault="002B1F5F" w:rsidP="002B1F5F">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44295,80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2B1F5F" w:rsidRDefault="002B1F5F" w:rsidP="002B1F5F">
            <w:pPr>
              <w:jc w:val="center"/>
            </w:pPr>
            <w:r>
              <w:t>44 295,80</w:t>
            </w:r>
          </w:p>
        </w:tc>
      </w:tr>
      <w:tr w:rsidR="002B1F5F" w:rsidTr="004F08CE">
        <w:tc>
          <w:tcPr>
            <w:tcW w:w="988" w:type="dxa"/>
          </w:tcPr>
          <w:p w:rsidR="002B1F5F" w:rsidRPr="00D66AF5" w:rsidRDefault="002B1F5F" w:rsidP="002B1F5F">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2B1F5F" w:rsidRDefault="002B1F5F" w:rsidP="002B1F5F">
            <w:pPr>
              <w:contextualSpacing/>
              <w:rPr>
                <w:sz w:val="22"/>
                <w:szCs w:val="22"/>
              </w:rPr>
            </w:pPr>
            <w:r w:rsidRPr="00646BCA">
              <w:rPr>
                <w:b/>
                <w:bCs/>
              </w:rPr>
              <w:t>ИТОГО начальная (максимальная) цена</w:t>
            </w:r>
          </w:p>
        </w:tc>
        <w:tc>
          <w:tcPr>
            <w:tcW w:w="2597" w:type="dxa"/>
          </w:tcPr>
          <w:p w:rsidR="002B1F5F" w:rsidRPr="006E017A" w:rsidRDefault="002B1F5F" w:rsidP="002B1F5F">
            <w:pPr>
              <w:contextualSpacing/>
              <w:jc w:val="center"/>
            </w:pPr>
            <w:r>
              <w:t>245 656,80</w:t>
            </w:r>
          </w:p>
        </w:tc>
      </w:tr>
      <w:tr w:rsidR="002B1F5F" w:rsidTr="004F08CE">
        <w:tc>
          <w:tcPr>
            <w:tcW w:w="988" w:type="dxa"/>
          </w:tcPr>
          <w:p w:rsidR="002B1F5F" w:rsidRPr="00D66AF5" w:rsidRDefault="002B1F5F" w:rsidP="002B1F5F">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2B1F5F" w:rsidRPr="00646BCA" w:rsidRDefault="002B1F5F" w:rsidP="002B1F5F">
            <w:pPr>
              <w:rPr>
                <w:b/>
                <w:bCs/>
              </w:rPr>
            </w:pPr>
            <w:r w:rsidRPr="00646BCA">
              <w:rPr>
                <w:b/>
                <w:bCs/>
              </w:rPr>
              <w:t>Порядок формирования начальной</w:t>
            </w:r>
          </w:p>
          <w:p w:rsidR="002B1F5F" w:rsidRPr="00646BCA" w:rsidRDefault="002B1F5F" w:rsidP="002B1F5F">
            <w:r w:rsidRPr="00646BCA">
              <w:rPr>
                <w:b/>
                <w:bCs/>
              </w:rPr>
              <w:t>(максимальной) цены договора</w:t>
            </w:r>
          </w:p>
        </w:tc>
        <w:tc>
          <w:tcPr>
            <w:tcW w:w="10388" w:type="dxa"/>
            <w:gridSpan w:val="4"/>
          </w:tcPr>
          <w:p w:rsidR="002B1F5F" w:rsidRDefault="002B1F5F" w:rsidP="002B1F5F">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Default="00D073B6" w:rsidP="00E16920">
      <w:pPr>
        <w:ind w:firstLine="708"/>
        <w:contextualSpacing/>
        <w:rPr>
          <w:sz w:val="22"/>
          <w:szCs w:val="22"/>
        </w:rPr>
      </w:pPr>
    </w:p>
    <w:p w:rsidR="009F3E13" w:rsidRDefault="009F3E13" w:rsidP="00E16920">
      <w:pPr>
        <w:ind w:firstLine="708"/>
        <w:contextualSpacing/>
      </w:pPr>
    </w:p>
    <w:p w:rsidR="002B1F5F" w:rsidRDefault="002B1F5F" w:rsidP="00E16920">
      <w:pPr>
        <w:ind w:firstLine="708"/>
        <w:contextualSpacing/>
      </w:pPr>
    </w:p>
    <w:p w:rsidR="002B1F5F" w:rsidRDefault="002B1F5F" w:rsidP="00E16920">
      <w:pPr>
        <w:ind w:firstLine="708"/>
        <w:contextualSpacing/>
      </w:pPr>
    </w:p>
    <w:p w:rsidR="002B1F5F" w:rsidRDefault="002B1F5F" w:rsidP="00E16920">
      <w:pPr>
        <w:ind w:firstLine="708"/>
        <w:contextualSpacing/>
      </w:pPr>
    </w:p>
    <w:p w:rsidR="002B1F5F" w:rsidRPr="00646BCA" w:rsidRDefault="002B1F5F"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5358"/>
        <w:gridCol w:w="8675"/>
      </w:tblGrid>
      <w:tr w:rsidR="00646BCA" w:rsidRPr="00CE1CC2" w:rsidTr="002B1F5F">
        <w:tc>
          <w:tcPr>
            <w:tcW w:w="757" w:type="dxa"/>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2B1F5F">
        <w:tc>
          <w:tcPr>
            <w:tcW w:w="757" w:type="dxa"/>
            <w:shd w:val="clear" w:color="auto" w:fill="auto"/>
            <w:vAlign w:val="center"/>
          </w:tcPr>
          <w:p w:rsidR="00646BCA" w:rsidRPr="004F08CE" w:rsidRDefault="00646BCA" w:rsidP="00646BCA">
            <w:pPr>
              <w:shd w:val="clear" w:color="auto" w:fill="FFFFFF"/>
              <w:snapToGrid w:val="0"/>
              <w:ind w:left="24"/>
              <w:jc w:val="center"/>
              <w:rPr>
                <w:b/>
                <w:color w:val="000000"/>
                <w:spacing w:val="-6"/>
                <w:sz w:val="22"/>
                <w:szCs w:val="22"/>
              </w:rPr>
            </w:pPr>
          </w:p>
          <w:p w:rsidR="00646BCA" w:rsidRPr="004F08CE" w:rsidRDefault="00646BCA" w:rsidP="00646BCA">
            <w:pPr>
              <w:shd w:val="clear" w:color="auto" w:fill="FFFFFF"/>
              <w:ind w:left="24"/>
              <w:jc w:val="center"/>
              <w:rPr>
                <w:b/>
                <w:color w:val="000000"/>
                <w:spacing w:val="-6"/>
                <w:sz w:val="22"/>
                <w:szCs w:val="22"/>
              </w:rPr>
            </w:pPr>
            <w:r w:rsidRPr="004F08CE">
              <w:rPr>
                <w:b/>
                <w:color w:val="000000"/>
                <w:spacing w:val="-6"/>
                <w:sz w:val="22"/>
                <w:szCs w:val="22"/>
              </w:rPr>
              <w:t>№ п/п</w:t>
            </w:r>
          </w:p>
        </w:tc>
        <w:tc>
          <w:tcPr>
            <w:tcW w:w="5358" w:type="dxa"/>
            <w:shd w:val="clear" w:color="auto" w:fill="auto"/>
            <w:vAlign w:val="center"/>
          </w:tcPr>
          <w:p w:rsidR="00646BCA" w:rsidRPr="004F08CE" w:rsidRDefault="00646BCA" w:rsidP="00646BCA">
            <w:pPr>
              <w:shd w:val="clear" w:color="auto" w:fill="FFFFFF"/>
              <w:snapToGrid w:val="0"/>
              <w:ind w:left="24"/>
              <w:jc w:val="center"/>
              <w:rPr>
                <w:b/>
                <w:color w:val="000000"/>
                <w:spacing w:val="-6"/>
                <w:sz w:val="22"/>
                <w:szCs w:val="22"/>
              </w:rPr>
            </w:pPr>
          </w:p>
          <w:p w:rsidR="00646BCA" w:rsidRPr="004F08CE" w:rsidRDefault="00646BCA" w:rsidP="00646BCA">
            <w:pPr>
              <w:shd w:val="clear" w:color="auto" w:fill="FFFFFF"/>
              <w:ind w:left="24"/>
              <w:jc w:val="center"/>
              <w:rPr>
                <w:b/>
                <w:color w:val="000000"/>
                <w:spacing w:val="-6"/>
                <w:sz w:val="22"/>
                <w:szCs w:val="22"/>
              </w:rPr>
            </w:pPr>
          </w:p>
          <w:p w:rsidR="00646BCA" w:rsidRPr="004F08CE" w:rsidRDefault="00646BCA" w:rsidP="00646BCA">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8675" w:type="dxa"/>
            <w:shd w:val="clear" w:color="auto" w:fill="auto"/>
            <w:vAlign w:val="center"/>
          </w:tcPr>
          <w:p w:rsidR="00646BCA" w:rsidRPr="004F08CE" w:rsidRDefault="00646BCA" w:rsidP="00646BCA">
            <w:pPr>
              <w:shd w:val="clear" w:color="auto" w:fill="FFFFFF"/>
              <w:snapToGrid w:val="0"/>
              <w:ind w:left="24"/>
              <w:jc w:val="center"/>
              <w:rPr>
                <w:b/>
                <w:color w:val="000000"/>
                <w:spacing w:val="-6"/>
                <w:sz w:val="22"/>
                <w:szCs w:val="22"/>
              </w:rPr>
            </w:pPr>
          </w:p>
          <w:p w:rsidR="00646BCA" w:rsidRPr="004F08CE" w:rsidRDefault="00646BCA" w:rsidP="00646BCA">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Принтер матричн</w:t>
            </w:r>
            <w:r w:rsidRPr="002B1F5F">
              <w:t xml:space="preserve">ый </w:t>
            </w:r>
            <w:proofErr w:type="spellStart"/>
            <w:r w:rsidRPr="002B1F5F">
              <w:t>Epson</w:t>
            </w:r>
            <w:proofErr w:type="spellEnd"/>
            <w:r w:rsidRPr="002B1F5F">
              <w:t xml:space="preserve"> LX 350 или эквивалент*</w:t>
            </w:r>
          </w:p>
        </w:tc>
        <w:tc>
          <w:tcPr>
            <w:tcW w:w="8675" w:type="dxa"/>
            <w:shd w:val="clear" w:color="FFFFFF" w:fill="FFFFFF"/>
            <w:vAlign w:val="center"/>
          </w:tcPr>
          <w:p w:rsidR="002B1F5F" w:rsidRPr="002B1F5F" w:rsidRDefault="002B1F5F" w:rsidP="002B1F5F">
            <w:pPr>
              <w:rPr>
                <w:sz w:val="20"/>
                <w:szCs w:val="20"/>
                <w:shd w:val="clear" w:color="auto" w:fill="FFFFFF"/>
              </w:rPr>
            </w:pPr>
            <w:r w:rsidRPr="002B1F5F">
              <w:rPr>
                <w:b/>
                <w:bCs/>
                <w:sz w:val="20"/>
                <w:szCs w:val="20"/>
                <w:shd w:val="clear" w:color="auto" w:fill="FFFFFF"/>
              </w:rPr>
              <w:t>Технология печати:</w:t>
            </w:r>
            <w:r w:rsidRPr="002B1F5F">
              <w:rPr>
                <w:sz w:val="20"/>
                <w:szCs w:val="20"/>
                <w:shd w:val="clear" w:color="auto" w:fill="FFFFFF"/>
              </w:rPr>
              <w:t xml:space="preserve"> матричная</w:t>
            </w:r>
          </w:p>
          <w:p w:rsidR="002B1F5F" w:rsidRPr="002B1F5F" w:rsidRDefault="002B1F5F" w:rsidP="002B1F5F">
            <w:pPr>
              <w:rPr>
                <w:sz w:val="20"/>
                <w:szCs w:val="20"/>
                <w:shd w:val="clear" w:color="auto" w:fill="FFFFFF"/>
              </w:rPr>
            </w:pPr>
            <w:r w:rsidRPr="002B1F5F">
              <w:rPr>
                <w:b/>
                <w:bCs/>
                <w:sz w:val="20"/>
                <w:szCs w:val="20"/>
                <w:shd w:val="clear" w:color="auto" w:fill="FFFFFF"/>
              </w:rPr>
              <w:t>Максимальный формат:</w:t>
            </w:r>
            <w:r w:rsidRPr="002B1F5F">
              <w:rPr>
                <w:sz w:val="20"/>
                <w:szCs w:val="20"/>
                <w:shd w:val="clear" w:color="auto" w:fill="FFFFFF"/>
              </w:rPr>
              <w:t xml:space="preserve"> A4</w:t>
            </w:r>
          </w:p>
          <w:p w:rsidR="002B1F5F" w:rsidRPr="002B1F5F" w:rsidRDefault="002B1F5F" w:rsidP="002B1F5F">
            <w:pPr>
              <w:rPr>
                <w:sz w:val="20"/>
                <w:szCs w:val="20"/>
                <w:shd w:val="clear" w:color="auto" w:fill="FFFFFF"/>
              </w:rPr>
            </w:pPr>
            <w:r w:rsidRPr="002B1F5F">
              <w:rPr>
                <w:b/>
                <w:bCs/>
                <w:sz w:val="20"/>
                <w:szCs w:val="20"/>
                <w:shd w:val="clear" w:color="auto" w:fill="FFFFFF"/>
              </w:rPr>
              <w:t>Держатель рулонной бумаги:</w:t>
            </w:r>
            <w:r w:rsidRPr="002B1F5F">
              <w:rPr>
                <w:sz w:val="20"/>
                <w:szCs w:val="20"/>
                <w:shd w:val="clear" w:color="auto" w:fill="FFFFFF"/>
              </w:rPr>
              <w:t xml:space="preserve"> есть</w:t>
            </w:r>
          </w:p>
          <w:p w:rsidR="002B1F5F" w:rsidRPr="002B1F5F" w:rsidRDefault="002B1F5F" w:rsidP="002B1F5F">
            <w:pPr>
              <w:rPr>
                <w:sz w:val="20"/>
                <w:szCs w:val="20"/>
                <w:shd w:val="clear" w:color="auto" w:fill="FFFFFF"/>
              </w:rPr>
            </w:pPr>
            <w:r w:rsidRPr="002B1F5F">
              <w:rPr>
                <w:b/>
                <w:bCs/>
                <w:sz w:val="20"/>
                <w:szCs w:val="20"/>
                <w:shd w:val="clear" w:color="auto" w:fill="FFFFFF"/>
              </w:rPr>
              <w:t>Интерфейсы:</w:t>
            </w:r>
            <w:r w:rsidRPr="002B1F5F">
              <w:rPr>
                <w:sz w:val="20"/>
                <w:szCs w:val="20"/>
                <w:shd w:val="clear" w:color="auto" w:fill="FFFFFF"/>
              </w:rPr>
              <w:t xml:space="preserve"> COM, LPT, USB</w:t>
            </w:r>
          </w:p>
          <w:p w:rsidR="002B1F5F" w:rsidRPr="002B1F5F" w:rsidRDefault="002B1F5F" w:rsidP="002B1F5F">
            <w:pPr>
              <w:rPr>
                <w:sz w:val="20"/>
                <w:szCs w:val="20"/>
                <w:shd w:val="clear" w:color="auto" w:fill="FFFFFF"/>
              </w:rPr>
            </w:pPr>
            <w:r w:rsidRPr="002B1F5F">
              <w:rPr>
                <w:b/>
                <w:bCs/>
                <w:sz w:val="20"/>
                <w:szCs w:val="20"/>
                <w:shd w:val="clear" w:color="auto" w:fill="FFFFFF"/>
              </w:rPr>
              <w:t>Совместимость с операционными системами:</w:t>
            </w:r>
            <w:r w:rsidRPr="002B1F5F">
              <w:rPr>
                <w:sz w:val="20"/>
                <w:szCs w:val="20"/>
                <w:shd w:val="clear" w:color="auto" w:fill="FFFFFF"/>
              </w:rPr>
              <w:t xml:space="preserve"> MS DOS, </w:t>
            </w:r>
            <w:proofErr w:type="spellStart"/>
            <w:r w:rsidRPr="002B1F5F">
              <w:rPr>
                <w:sz w:val="20"/>
                <w:szCs w:val="20"/>
                <w:shd w:val="clear" w:color="auto" w:fill="FFFFFF"/>
              </w:rPr>
              <w:t>Windows</w:t>
            </w:r>
            <w:proofErr w:type="spellEnd"/>
            <w:r w:rsidRPr="002B1F5F">
              <w:rPr>
                <w:sz w:val="20"/>
                <w:szCs w:val="20"/>
                <w:shd w:val="clear" w:color="auto" w:fill="FFFFFF"/>
              </w:rPr>
              <w:t xml:space="preserve"> 7, </w:t>
            </w:r>
            <w:proofErr w:type="spellStart"/>
            <w:r w:rsidRPr="002B1F5F">
              <w:rPr>
                <w:sz w:val="20"/>
                <w:szCs w:val="20"/>
                <w:shd w:val="clear" w:color="auto" w:fill="FFFFFF"/>
              </w:rPr>
              <w:t>Windows</w:t>
            </w:r>
            <w:proofErr w:type="spellEnd"/>
            <w:r w:rsidRPr="002B1F5F">
              <w:rPr>
                <w:sz w:val="20"/>
                <w:szCs w:val="20"/>
                <w:shd w:val="clear" w:color="auto" w:fill="FFFFFF"/>
              </w:rPr>
              <w:t xml:space="preserve"> 2000, </w:t>
            </w:r>
            <w:proofErr w:type="spellStart"/>
            <w:r w:rsidRPr="002B1F5F">
              <w:rPr>
                <w:sz w:val="20"/>
                <w:szCs w:val="20"/>
                <w:shd w:val="clear" w:color="auto" w:fill="FFFFFF"/>
              </w:rPr>
              <w:t>Windows</w:t>
            </w:r>
            <w:proofErr w:type="spellEnd"/>
            <w:r w:rsidRPr="002B1F5F">
              <w:rPr>
                <w:sz w:val="20"/>
                <w:szCs w:val="20"/>
                <w:shd w:val="clear" w:color="auto" w:fill="FFFFFF"/>
              </w:rPr>
              <w:t xml:space="preserve"> </w:t>
            </w:r>
            <w:proofErr w:type="spellStart"/>
            <w:r w:rsidRPr="002B1F5F">
              <w:rPr>
                <w:sz w:val="20"/>
                <w:szCs w:val="20"/>
                <w:shd w:val="clear" w:color="auto" w:fill="FFFFFF"/>
              </w:rPr>
              <w:t>Vista</w:t>
            </w:r>
            <w:proofErr w:type="spellEnd"/>
            <w:r w:rsidRPr="002B1F5F">
              <w:rPr>
                <w:sz w:val="20"/>
                <w:szCs w:val="20"/>
                <w:shd w:val="clear" w:color="auto" w:fill="FFFFFF"/>
              </w:rPr>
              <w:t xml:space="preserve">, </w:t>
            </w:r>
            <w:proofErr w:type="spellStart"/>
            <w:r w:rsidRPr="002B1F5F">
              <w:rPr>
                <w:sz w:val="20"/>
                <w:szCs w:val="20"/>
                <w:shd w:val="clear" w:color="auto" w:fill="FFFFFF"/>
              </w:rPr>
              <w:t>Windows</w:t>
            </w:r>
            <w:proofErr w:type="spellEnd"/>
            <w:r w:rsidRPr="002B1F5F">
              <w:rPr>
                <w:sz w:val="20"/>
                <w:szCs w:val="20"/>
                <w:shd w:val="clear" w:color="auto" w:fill="FFFFFF"/>
              </w:rPr>
              <w:t xml:space="preserve"> XP</w:t>
            </w:r>
          </w:p>
          <w:p w:rsidR="002B1F5F" w:rsidRPr="002B1F5F" w:rsidRDefault="002B1F5F" w:rsidP="002B1F5F">
            <w:pPr>
              <w:rPr>
                <w:sz w:val="20"/>
                <w:szCs w:val="20"/>
                <w:shd w:val="clear" w:color="auto" w:fill="FFFFFF"/>
              </w:rPr>
            </w:pPr>
            <w:r w:rsidRPr="002B1F5F">
              <w:rPr>
                <w:b/>
                <w:bCs/>
                <w:sz w:val="20"/>
                <w:szCs w:val="20"/>
                <w:shd w:val="clear" w:color="auto" w:fill="FFFFFF"/>
              </w:rPr>
              <w:t>Ресурс печатающей головки (точек на иглу), млн:</w:t>
            </w:r>
            <w:r w:rsidRPr="002B1F5F">
              <w:rPr>
                <w:sz w:val="20"/>
                <w:szCs w:val="20"/>
                <w:shd w:val="clear" w:color="auto" w:fill="FFFFFF"/>
              </w:rPr>
              <w:t xml:space="preserve"> не менее 400</w:t>
            </w:r>
          </w:p>
          <w:p w:rsidR="002B1F5F" w:rsidRPr="002B1F5F" w:rsidRDefault="002B1F5F" w:rsidP="002B1F5F">
            <w:pPr>
              <w:rPr>
                <w:sz w:val="22"/>
                <w:szCs w:val="22"/>
              </w:rPr>
            </w:pPr>
            <w:r w:rsidRPr="002B1F5F">
              <w:rPr>
                <w:b/>
                <w:bCs/>
                <w:sz w:val="20"/>
                <w:szCs w:val="20"/>
                <w:shd w:val="clear" w:color="auto" w:fill="FFFFFF"/>
              </w:rPr>
              <w:t>Питание:</w:t>
            </w:r>
            <w:r w:rsidRPr="002B1F5F">
              <w:rPr>
                <w:sz w:val="20"/>
                <w:szCs w:val="20"/>
                <w:shd w:val="clear" w:color="auto" w:fill="FFFFFF"/>
              </w:rPr>
              <w:t xml:space="preserve"> от сети 220В/50ГЦ</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Монитор, подключаемый к компьютеру HP 22m [3WL44AA] или эквивалент*</w:t>
            </w:r>
          </w:p>
        </w:tc>
        <w:tc>
          <w:tcPr>
            <w:tcW w:w="8675" w:type="dxa"/>
            <w:shd w:val="clear" w:color="FFFFFF" w:fill="FFFFFF"/>
            <w:vAlign w:val="center"/>
          </w:tcPr>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Диагональ: </w:t>
            </w:r>
            <w:r w:rsidRPr="002B1F5F">
              <w:rPr>
                <w:rFonts w:eastAsia="Andale Sans UI"/>
                <w:iCs/>
                <w:color w:val="000000"/>
                <w:kern w:val="1"/>
                <w:sz w:val="20"/>
                <w:szCs w:val="20"/>
              </w:rPr>
              <w:t>не менее 21”;</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Тип матрицы экрана: </w:t>
            </w:r>
            <w:r w:rsidRPr="002B1F5F">
              <w:rPr>
                <w:rFonts w:eastAsia="Andale Sans UI"/>
                <w:iCs/>
                <w:color w:val="000000"/>
                <w:kern w:val="1"/>
                <w:sz w:val="20"/>
                <w:szCs w:val="20"/>
              </w:rPr>
              <w:t>IPS;</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Разрешение: </w:t>
            </w:r>
            <w:r w:rsidRPr="002B1F5F">
              <w:rPr>
                <w:rFonts w:eastAsia="Andale Sans UI"/>
                <w:iCs/>
                <w:color w:val="000000"/>
                <w:kern w:val="1"/>
                <w:sz w:val="20"/>
                <w:szCs w:val="20"/>
              </w:rPr>
              <w:t>не менее 1920x1080;</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Яркость: </w:t>
            </w:r>
            <w:r w:rsidRPr="002B1F5F">
              <w:rPr>
                <w:rFonts w:eastAsia="Andale Sans UI"/>
                <w:iCs/>
                <w:color w:val="000000"/>
                <w:kern w:val="1"/>
                <w:sz w:val="20"/>
                <w:szCs w:val="20"/>
              </w:rPr>
              <w:t>не менее 250 кд/кв.м;</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Время отклика: </w:t>
            </w:r>
            <w:r w:rsidRPr="002B1F5F">
              <w:rPr>
                <w:rFonts w:eastAsia="Andale Sans UI"/>
                <w:iCs/>
                <w:color w:val="000000"/>
                <w:kern w:val="1"/>
                <w:sz w:val="20"/>
                <w:szCs w:val="20"/>
              </w:rPr>
              <w:t>не более 5 мс;</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Контрастность: </w:t>
            </w:r>
            <w:r w:rsidRPr="002B1F5F">
              <w:rPr>
                <w:rFonts w:eastAsia="Andale Sans UI"/>
                <w:iCs/>
                <w:color w:val="000000"/>
                <w:kern w:val="1"/>
                <w:sz w:val="20"/>
                <w:szCs w:val="20"/>
              </w:rPr>
              <w:t>не менее 1000:1;</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Покрытие экрана: </w:t>
            </w:r>
            <w:r w:rsidRPr="002B1F5F">
              <w:rPr>
                <w:rFonts w:eastAsia="Andale Sans UI"/>
                <w:iCs/>
                <w:color w:val="000000"/>
                <w:kern w:val="1"/>
                <w:sz w:val="20"/>
                <w:szCs w:val="20"/>
              </w:rPr>
              <w:t>матовое;</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Интерфейс монитора: </w:t>
            </w:r>
            <w:r w:rsidRPr="002B1F5F">
              <w:rPr>
                <w:rFonts w:eastAsia="Andale Sans UI"/>
                <w:iCs/>
                <w:color w:val="000000"/>
                <w:kern w:val="1"/>
                <w:sz w:val="20"/>
                <w:szCs w:val="20"/>
              </w:rPr>
              <w:t>HDMI, VGA (D-sub);</w:t>
            </w:r>
          </w:p>
          <w:p w:rsidR="002B1F5F" w:rsidRPr="002B1F5F" w:rsidRDefault="002B1F5F" w:rsidP="002B1F5F">
            <w:pPr>
              <w:rPr>
                <w:iCs/>
                <w:color w:val="000000"/>
                <w:sz w:val="22"/>
                <w:szCs w:val="22"/>
              </w:rPr>
            </w:pPr>
            <w:r w:rsidRPr="002B1F5F">
              <w:rPr>
                <w:rFonts w:eastAsia="Andale Sans UI"/>
                <w:b/>
                <w:bCs/>
                <w:iCs/>
                <w:color w:val="000000"/>
                <w:kern w:val="1"/>
                <w:sz w:val="20"/>
                <w:szCs w:val="20"/>
              </w:rPr>
              <w:t xml:space="preserve">Угол обзора (Г/В): </w:t>
            </w:r>
            <w:r w:rsidRPr="002B1F5F">
              <w:rPr>
                <w:rFonts w:eastAsia="Andale Sans UI"/>
                <w:iCs/>
                <w:color w:val="000000"/>
                <w:kern w:val="1"/>
                <w:sz w:val="20"/>
                <w:szCs w:val="20"/>
              </w:rPr>
              <w:t>не менее 178˚/178˚.</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Системный блок</w:t>
            </w:r>
          </w:p>
        </w:tc>
        <w:tc>
          <w:tcPr>
            <w:tcW w:w="8675" w:type="dxa"/>
            <w:shd w:val="clear" w:color="auto" w:fill="auto"/>
          </w:tcPr>
          <w:p w:rsidR="002B1F5F" w:rsidRPr="002B1F5F" w:rsidRDefault="002B1F5F" w:rsidP="002B1F5F">
            <w:pPr>
              <w:rPr>
                <w:b/>
                <w:bCs/>
                <w:iCs/>
                <w:color w:val="000000"/>
                <w:sz w:val="20"/>
                <w:szCs w:val="20"/>
              </w:rPr>
            </w:pPr>
            <w:r w:rsidRPr="002B1F5F">
              <w:rPr>
                <w:b/>
                <w:bCs/>
                <w:iCs/>
                <w:color w:val="000000"/>
                <w:sz w:val="20"/>
                <w:szCs w:val="20"/>
              </w:rPr>
              <w:t xml:space="preserve">Центральный процессор: </w:t>
            </w:r>
          </w:p>
          <w:p w:rsidR="002B1F5F" w:rsidRPr="002B1F5F" w:rsidRDefault="002B1F5F" w:rsidP="002B1F5F">
            <w:pPr>
              <w:rPr>
                <w:iCs/>
                <w:color w:val="000000"/>
                <w:sz w:val="20"/>
                <w:szCs w:val="20"/>
              </w:rPr>
            </w:pPr>
            <w:r w:rsidRPr="002B1F5F">
              <w:rPr>
                <w:iCs/>
                <w:color w:val="000000"/>
                <w:sz w:val="20"/>
                <w:szCs w:val="20"/>
              </w:rPr>
              <w:t xml:space="preserve">базовая тактовая частота: не менее 3.1 ГГц; </w:t>
            </w:r>
          </w:p>
          <w:p w:rsidR="002B1F5F" w:rsidRPr="002B1F5F" w:rsidRDefault="002B1F5F" w:rsidP="002B1F5F">
            <w:pPr>
              <w:rPr>
                <w:iCs/>
                <w:color w:val="000000"/>
                <w:sz w:val="20"/>
                <w:szCs w:val="20"/>
              </w:rPr>
            </w:pPr>
            <w:r w:rsidRPr="002B1F5F">
              <w:rPr>
                <w:iCs/>
                <w:color w:val="000000"/>
                <w:sz w:val="20"/>
                <w:szCs w:val="20"/>
              </w:rPr>
              <w:t>количество физических ядер: не менее 4;</w:t>
            </w:r>
          </w:p>
          <w:p w:rsidR="002B1F5F" w:rsidRPr="002B1F5F" w:rsidRDefault="002B1F5F" w:rsidP="002B1F5F">
            <w:pPr>
              <w:rPr>
                <w:iCs/>
                <w:color w:val="000000"/>
                <w:sz w:val="20"/>
                <w:szCs w:val="20"/>
              </w:rPr>
            </w:pPr>
            <w:r w:rsidRPr="002B1F5F">
              <w:rPr>
                <w:iCs/>
                <w:color w:val="000000"/>
                <w:sz w:val="20"/>
                <w:szCs w:val="20"/>
              </w:rPr>
              <w:t>кэш память L2: не менее 2 Мб;</w:t>
            </w:r>
          </w:p>
          <w:p w:rsidR="002B1F5F" w:rsidRPr="002B1F5F" w:rsidRDefault="002B1F5F" w:rsidP="002B1F5F">
            <w:pPr>
              <w:rPr>
                <w:iCs/>
                <w:color w:val="000000"/>
                <w:sz w:val="20"/>
                <w:szCs w:val="20"/>
              </w:rPr>
            </w:pPr>
            <w:r w:rsidRPr="002B1F5F">
              <w:rPr>
                <w:iCs/>
                <w:color w:val="000000"/>
                <w:sz w:val="20"/>
                <w:szCs w:val="20"/>
              </w:rPr>
              <w:t>Интегрированное графическое ядро: есть</w:t>
            </w:r>
          </w:p>
          <w:p w:rsidR="002B1F5F" w:rsidRPr="002B1F5F" w:rsidRDefault="002B1F5F" w:rsidP="002B1F5F">
            <w:pPr>
              <w:rPr>
                <w:iCs/>
                <w:color w:val="000000"/>
                <w:sz w:val="20"/>
                <w:szCs w:val="20"/>
              </w:rPr>
            </w:pPr>
            <w:r w:rsidRPr="002B1F5F">
              <w:rPr>
                <w:iCs/>
                <w:color w:val="000000"/>
                <w:sz w:val="20"/>
                <w:szCs w:val="20"/>
              </w:rPr>
              <w:t>активная система охлаждения.</w:t>
            </w:r>
          </w:p>
          <w:p w:rsidR="002B1F5F" w:rsidRPr="002B1F5F" w:rsidRDefault="002B1F5F" w:rsidP="002B1F5F">
            <w:pPr>
              <w:rPr>
                <w:b/>
                <w:bCs/>
                <w:iCs/>
                <w:color w:val="000000"/>
                <w:sz w:val="20"/>
                <w:szCs w:val="20"/>
              </w:rPr>
            </w:pPr>
            <w:r w:rsidRPr="002B1F5F">
              <w:rPr>
                <w:b/>
                <w:bCs/>
                <w:iCs/>
                <w:color w:val="000000"/>
                <w:sz w:val="20"/>
                <w:szCs w:val="20"/>
              </w:rPr>
              <w:t xml:space="preserve">Материнская плата: </w:t>
            </w:r>
          </w:p>
          <w:p w:rsidR="002B1F5F" w:rsidRPr="002B1F5F" w:rsidRDefault="002B1F5F" w:rsidP="002B1F5F">
            <w:pPr>
              <w:rPr>
                <w:iCs/>
                <w:color w:val="000000"/>
                <w:sz w:val="20"/>
                <w:szCs w:val="20"/>
              </w:rPr>
            </w:pPr>
            <w:r w:rsidRPr="002B1F5F">
              <w:rPr>
                <w:iCs/>
                <w:color w:val="000000"/>
                <w:sz w:val="20"/>
                <w:szCs w:val="20"/>
              </w:rPr>
              <w:t>слоты расширения с интерфейсом PCI-E 16x: не менее 1 штуки;</w:t>
            </w:r>
          </w:p>
          <w:p w:rsidR="002B1F5F" w:rsidRPr="002B1F5F" w:rsidRDefault="002B1F5F" w:rsidP="002B1F5F">
            <w:pPr>
              <w:rPr>
                <w:iCs/>
                <w:color w:val="000000"/>
                <w:sz w:val="20"/>
                <w:szCs w:val="20"/>
              </w:rPr>
            </w:pPr>
            <w:r w:rsidRPr="002B1F5F">
              <w:rPr>
                <w:iCs/>
                <w:color w:val="000000"/>
                <w:sz w:val="20"/>
                <w:szCs w:val="20"/>
              </w:rPr>
              <w:t>слоты расширения с интерфейсом PCI-E 1x: не менее 1 штук;</w:t>
            </w:r>
          </w:p>
          <w:p w:rsidR="002B1F5F" w:rsidRPr="002B1F5F" w:rsidRDefault="002B1F5F" w:rsidP="002B1F5F">
            <w:pPr>
              <w:rPr>
                <w:iCs/>
                <w:color w:val="000000"/>
                <w:sz w:val="20"/>
                <w:szCs w:val="20"/>
              </w:rPr>
            </w:pPr>
            <w:r w:rsidRPr="002B1F5F">
              <w:rPr>
                <w:iCs/>
                <w:color w:val="000000"/>
                <w:sz w:val="20"/>
                <w:szCs w:val="20"/>
              </w:rPr>
              <w:t>видеовыходы: HDMI, DVI;</w:t>
            </w:r>
          </w:p>
          <w:p w:rsidR="002B1F5F" w:rsidRPr="002B1F5F" w:rsidRDefault="002B1F5F" w:rsidP="002B1F5F">
            <w:pPr>
              <w:rPr>
                <w:iCs/>
                <w:color w:val="000000"/>
                <w:sz w:val="20"/>
                <w:szCs w:val="20"/>
              </w:rPr>
            </w:pPr>
            <w:r w:rsidRPr="002B1F5F">
              <w:rPr>
                <w:iCs/>
                <w:color w:val="000000"/>
                <w:sz w:val="20"/>
                <w:szCs w:val="20"/>
              </w:rPr>
              <w:t>USB разъемы на задней панели: не менее 4 шт.</w:t>
            </w:r>
          </w:p>
          <w:p w:rsidR="002B1F5F" w:rsidRPr="002B1F5F" w:rsidRDefault="002B1F5F" w:rsidP="002B1F5F">
            <w:pPr>
              <w:rPr>
                <w:iCs/>
                <w:color w:val="000000"/>
                <w:sz w:val="20"/>
                <w:szCs w:val="20"/>
              </w:rPr>
            </w:pPr>
            <w:r w:rsidRPr="002B1F5F">
              <w:rPr>
                <w:b/>
                <w:bCs/>
                <w:iCs/>
                <w:color w:val="000000"/>
                <w:sz w:val="20"/>
                <w:szCs w:val="20"/>
              </w:rPr>
              <w:t>Оперативная память объемом:</w:t>
            </w:r>
            <w:r w:rsidRPr="002B1F5F">
              <w:rPr>
                <w:iCs/>
                <w:color w:val="000000"/>
                <w:sz w:val="20"/>
                <w:szCs w:val="20"/>
              </w:rPr>
              <w:t xml:space="preserve"> DDR4, не менее 8 Гб;</w:t>
            </w:r>
          </w:p>
          <w:p w:rsidR="002B1F5F" w:rsidRPr="002B1F5F" w:rsidRDefault="002B1F5F" w:rsidP="002B1F5F">
            <w:pPr>
              <w:rPr>
                <w:b/>
                <w:bCs/>
                <w:iCs/>
                <w:color w:val="000000"/>
                <w:sz w:val="20"/>
                <w:szCs w:val="20"/>
              </w:rPr>
            </w:pPr>
            <w:r w:rsidRPr="002B1F5F">
              <w:rPr>
                <w:b/>
                <w:bCs/>
                <w:iCs/>
                <w:color w:val="000000"/>
                <w:sz w:val="20"/>
                <w:szCs w:val="20"/>
              </w:rPr>
              <w:t xml:space="preserve">Накопитель: </w:t>
            </w:r>
          </w:p>
          <w:p w:rsidR="002B1F5F" w:rsidRPr="002B1F5F" w:rsidRDefault="002B1F5F" w:rsidP="002B1F5F">
            <w:pPr>
              <w:rPr>
                <w:iCs/>
                <w:color w:val="000000"/>
                <w:sz w:val="20"/>
                <w:szCs w:val="20"/>
              </w:rPr>
            </w:pPr>
            <w:r w:rsidRPr="002B1F5F">
              <w:rPr>
                <w:iCs/>
                <w:color w:val="000000"/>
                <w:sz w:val="20"/>
                <w:szCs w:val="20"/>
              </w:rPr>
              <w:t>тип накопителя: SSD;</w:t>
            </w:r>
          </w:p>
          <w:p w:rsidR="002B1F5F" w:rsidRPr="002B1F5F" w:rsidRDefault="002B1F5F" w:rsidP="002B1F5F">
            <w:pPr>
              <w:rPr>
                <w:iCs/>
                <w:color w:val="000000"/>
                <w:sz w:val="20"/>
                <w:szCs w:val="20"/>
              </w:rPr>
            </w:pPr>
            <w:r w:rsidRPr="002B1F5F">
              <w:rPr>
                <w:iCs/>
                <w:color w:val="000000"/>
                <w:sz w:val="20"/>
                <w:szCs w:val="20"/>
              </w:rPr>
              <w:t>интерфейс: не менее SATA II;</w:t>
            </w:r>
          </w:p>
          <w:p w:rsidR="002B1F5F" w:rsidRPr="002B1F5F" w:rsidRDefault="002B1F5F" w:rsidP="002B1F5F">
            <w:pPr>
              <w:rPr>
                <w:iCs/>
                <w:color w:val="000000"/>
                <w:sz w:val="20"/>
                <w:szCs w:val="20"/>
              </w:rPr>
            </w:pPr>
            <w:r w:rsidRPr="002B1F5F">
              <w:rPr>
                <w:iCs/>
                <w:color w:val="000000"/>
                <w:sz w:val="20"/>
                <w:szCs w:val="20"/>
              </w:rPr>
              <w:t>емкость: не менее 240 Гбайт;</w:t>
            </w:r>
          </w:p>
          <w:p w:rsidR="002B1F5F" w:rsidRPr="002B1F5F" w:rsidRDefault="002B1F5F" w:rsidP="002B1F5F">
            <w:pPr>
              <w:rPr>
                <w:b/>
                <w:bCs/>
                <w:iCs/>
                <w:color w:val="000000"/>
                <w:sz w:val="20"/>
                <w:szCs w:val="20"/>
              </w:rPr>
            </w:pPr>
            <w:r w:rsidRPr="002B1F5F">
              <w:rPr>
                <w:b/>
                <w:bCs/>
                <w:iCs/>
                <w:color w:val="000000"/>
                <w:sz w:val="20"/>
                <w:szCs w:val="20"/>
              </w:rPr>
              <w:t xml:space="preserve">Корпус: </w:t>
            </w:r>
          </w:p>
          <w:p w:rsidR="002B1F5F" w:rsidRPr="002B1F5F" w:rsidRDefault="002B1F5F" w:rsidP="002B1F5F">
            <w:pPr>
              <w:rPr>
                <w:iCs/>
                <w:color w:val="000000"/>
                <w:sz w:val="20"/>
                <w:szCs w:val="20"/>
              </w:rPr>
            </w:pPr>
            <w:r w:rsidRPr="002B1F5F">
              <w:rPr>
                <w:iCs/>
                <w:color w:val="000000"/>
                <w:sz w:val="20"/>
                <w:szCs w:val="20"/>
              </w:rPr>
              <w:t>исполнение: «</w:t>
            </w:r>
            <w:proofErr w:type="spellStart"/>
            <w:r w:rsidRPr="002B1F5F">
              <w:rPr>
                <w:iCs/>
                <w:color w:val="000000"/>
                <w:sz w:val="20"/>
                <w:szCs w:val="20"/>
              </w:rPr>
              <w:t>midi-tower</w:t>
            </w:r>
            <w:proofErr w:type="spellEnd"/>
            <w:r w:rsidRPr="002B1F5F">
              <w:rPr>
                <w:iCs/>
                <w:color w:val="000000"/>
                <w:sz w:val="20"/>
                <w:szCs w:val="20"/>
              </w:rPr>
              <w:t xml:space="preserve">»; </w:t>
            </w:r>
          </w:p>
          <w:p w:rsidR="002B1F5F" w:rsidRPr="002B1F5F" w:rsidRDefault="002B1F5F" w:rsidP="002B1F5F">
            <w:pPr>
              <w:rPr>
                <w:iCs/>
                <w:color w:val="000000"/>
                <w:sz w:val="20"/>
                <w:szCs w:val="20"/>
              </w:rPr>
            </w:pPr>
            <w:r w:rsidRPr="002B1F5F">
              <w:rPr>
                <w:iCs/>
                <w:color w:val="000000"/>
                <w:sz w:val="20"/>
                <w:szCs w:val="20"/>
              </w:rPr>
              <w:t>толщина металла: не менее 0,45 мм;</w:t>
            </w:r>
          </w:p>
          <w:p w:rsidR="002B1F5F" w:rsidRPr="002B1F5F" w:rsidRDefault="002B1F5F" w:rsidP="002B1F5F">
            <w:pPr>
              <w:rPr>
                <w:iCs/>
                <w:color w:val="000000"/>
                <w:sz w:val="20"/>
                <w:szCs w:val="20"/>
              </w:rPr>
            </w:pPr>
            <w:r w:rsidRPr="002B1F5F">
              <w:rPr>
                <w:iCs/>
                <w:color w:val="000000"/>
                <w:sz w:val="20"/>
                <w:szCs w:val="20"/>
              </w:rPr>
              <w:t>наличие воздуховода на боковой стенке;</w:t>
            </w:r>
          </w:p>
          <w:p w:rsidR="002B1F5F" w:rsidRPr="002B1F5F" w:rsidRDefault="002B1F5F" w:rsidP="002B1F5F">
            <w:pPr>
              <w:rPr>
                <w:iCs/>
                <w:color w:val="000000"/>
                <w:sz w:val="20"/>
                <w:szCs w:val="20"/>
              </w:rPr>
            </w:pPr>
            <w:r w:rsidRPr="002B1F5F">
              <w:rPr>
                <w:iCs/>
                <w:color w:val="000000"/>
                <w:sz w:val="20"/>
                <w:szCs w:val="20"/>
              </w:rPr>
              <w:t>количество отсеков 2,5”: не менее 2;</w:t>
            </w:r>
          </w:p>
          <w:p w:rsidR="002B1F5F" w:rsidRPr="002B1F5F" w:rsidRDefault="002B1F5F" w:rsidP="002B1F5F">
            <w:pPr>
              <w:rPr>
                <w:iCs/>
                <w:color w:val="000000"/>
                <w:sz w:val="20"/>
                <w:szCs w:val="20"/>
              </w:rPr>
            </w:pPr>
            <w:r w:rsidRPr="002B1F5F">
              <w:rPr>
                <w:iCs/>
                <w:color w:val="000000"/>
                <w:sz w:val="20"/>
                <w:szCs w:val="20"/>
              </w:rPr>
              <w:t>порты USB на передней панели: не менее 2.</w:t>
            </w:r>
          </w:p>
          <w:p w:rsidR="002B1F5F" w:rsidRPr="002B1F5F" w:rsidRDefault="002B1F5F" w:rsidP="002B1F5F">
            <w:pPr>
              <w:rPr>
                <w:b/>
                <w:bCs/>
                <w:iCs/>
                <w:color w:val="000000"/>
                <w:sz w:val="20"/>
                <w:szCs w:val="20"/>
              </w:rPr>
            </w:pPr>
            <w:r w:rsidRPr="002B1F5F">
              <w:rPr>
                <w:b/>
                <w:bCs/>
                <w:iCs/>
                <w:color w:val="000000"/>
                <w:sz w:val="20"/>
                <w:szCs w:val="20"/>
              </w:rPr>
              <w:lastRenderedPageBreak/>
              <w:t xml:space="preserve">Блок питания: </w:t>
            </w:r>
          </w:p>
          <w:p w:rsidR="002B1F5F" w:rsidRPr="002B1F5F" w:rsidRDefault="002B1F5F" w:rsidP="002B1F5F">
            <w:pPr>
              <w:rPr>
                <w:iCs/>
                <w:color w:val="000000"/>
                <w:sz w:val="20"/>
                <w:szCs w:val="20"/>
              </w:rPr>
            </w:pPr>
            <w:r w:rsidRPr="002B1F5F">
              <w:rPr>
                <w:iCs/>
                <w:color w:val="000000"/>
                <w:sz w:val="20"/>
                <w:szCs w:val="20"/>
              </w:rPr>
              <w:t>мощность: не менее 300 Вт;</w:t>
            </w:r>
          </w:p>
          <w:p w:rsidR="002B1F5F" w:rsidRPr="002B1F5F" w:rsidRDefault="002B1F5F" w:rsidP="002B1F5F">
            <w:pPr>
              <w:rPr>
                <w:iCs/>
                <w:color w:val="000000"/>
                <w:sz w:val="20"/>
                <w:szCs w:val="20"/>
                <w:lang w:val="en-US"/>
              </w:rPr>
            </w:pPr>
            <w:r w:rsidRPr="002B1F5F">
              <w:rPr>
                <w:b/>
                <w:bCs/>
                <w:iCs/>
                <w:color w:val="000000"/>
                <w:sz w:val="20"/>
                <w:szCs w:val="20"/>
              </w:rPr>
              <w:t>Операционная система:</w:t>
            </w:r>
            <w:r w:rsidRPr="002B1F5F">
              <w:rPr>
                <w:iCs/>
                <w:color w:val="000000"/>
                <w:sz w:val="20"/>
                <w:szCs w:val="20"/>
              </w:rPr>
              <w:t xml:space="preserve"> </w:t>
            </w:r>
            <w:r w:rsidRPr="002B1F5F">
              <w:rPr>
                <w:iCs/>
                <w:color w:val="000000"/>
                <w:sz w:val="20"/>
                <w:szCs w:val="20"/>
                <w:lang w:val="en-US"/>
              </w:rPr>
              <w:t>Windows 10</w:t>
            </w:r>
          </w:p>
        </w:tc>
      </w:tr>
      <w:tr w:rsidR="002B1F5F" w:rsidRPr="00CE1CC2" w:rsidTr="00803ACB">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Клавиатура</w:t>
            </w:r>
          </w:p>
        </w:tc>
        <w:tc>
          <w:tcPr>
            <w:tcW w:w="8675" w:type="dxa"/>
            <w:shd w:val="clear" w:color="auto" w:fill="auto"/>
          </w:tcPr>
          <w:p w:rsidR="002B1F5F" w:rsidRPr="002B1F5F" w:rsidRDefault="002B1F5F" w:rsidP="002B1F5F">
            <w:pPr>
              <w:rPr>
                <w:b/>
                <w:bCs/>
                <w:iCs/>
                <w:color w:val="000000"/>
                <w:sz w:val="20"/>
                <w:szCs w:val="20"/>
              </w:rPr>
            </w:pPr>
            <w:r w:rsidRPr="002B1F5F">
              <w:rPr>
                <w:b/>
                <w:bCs/>
                <w:iCs/>
                <w:color w:val="000000"/>
                <w:sz w:val="20"/>
                <w:szCs w:val="20"/>
              </w:rPr>
              <w:t xml:space="preserve">Тип: </w:t>
            </w:r>
            <w:r w:rsidRPr="002B1F5F">
              <w:rPr>
                <w:iCs/>
                <w:color w:val="000000"/>
                <w:sz w:val="20"/>
                <w:szCs w:val="20"/>
              </w:rPr>
              <w:t>мембранная;</w:t>
            </w:r>
          </w:p>
          <w:p w:rsidR="002B1F5F" w:rsidRPr="002B1F5F" w:rsidRDefault="002B1F5F" w:rsidP="002B1F5F">
            <w:pPr>
              <w:rPr>
                <w:iCs/>
                <w:color w:val="000000"/>
                <w:sz w:val="20"/>
                <w:szCs w:val="20"/>
              </w:rPr>
            </w:pPr>
            <w:r w:rsidRPr="002B1F5F">
              <w:rPr>
                <w:b/>
                <w:bCs/>
                <w:iCs/>
                <w:color w:val="000000"/>
                <w:sz w:val="20"/>
                <w:szCs w:val="20"/>
              </w:rPr>
              <w:t xml:space="preserve">Количество клавиш: </w:t>
            </w:r>
            <w:r w:rsidRPr="002B1F5F">
              <w:rPr>
                <w:iCs/>
                <w:color w:val="000000"/>
                <w:sz w:val="20"/>
                <w:szCs w:val="20"/>
              </w:rPr>
              <w:t>не менее 104;</w:t>
            </w:r>
          </w:p>
          <w:p w:rsidR="002B1F5F" w:rsidRPr="002B1F5F" w:rsidRDefault="002B1F5F" w:rsidP="002B1F5F">
            <w:pPr>
              <w:rPr>
                <w:iCs/>
                <w:color w:val="000000"/>
                <w:sz w:val="20"/>
                <w:szCs w:val="20"/>
              </w:rPr>
            </w:pPr>
            <w:r w:rsidRPr="002B1F5F">
              <w:rPr>
                <w:b/>
                <w:bCs/>
                <w:iCs/>
                <w:color w:val="000000"/>
                <w:sz w:val="20"/>
                <w:szCs w:val="20"/>
              </w:rPr>
              <w:t xml:space="preserve">Цифровой блок: </w:t>
            </w:r>
            <w:r w:rsidRPr="002B1F5F">
              <w:rPr>
                <w:iCs/>
                <w:color w:val="000000"/>
                <w:sz w:val="20"/>
                <w:szCs w:val="20"/>
              </w:rPr>
              <w:t>есть;</w:t>
            </w:r>
          </w:p>
          <w:p w:rsidR="002B1F5F" w:rsidRPr="002B1F5F" w:rsidRDefault="002B1F5F" w:rsidP="002B1F5F">
            <w:pPr>
              <w:rPr>
                <w:iCs/>
                <w:color w:val="000000"/>
                <w:sz w:val="20"/>
                <w:szCs w:val="20"/>
              </w:rPr>
            </w:pPr>
            <w:r w:rsidRPr="002B1F5F">
              <w:rPr>
                <w:b/>
                <w:bCs/>
                <w:iCs/>
                <w:color w:val="000000"/>
                <w:sz w:val="20"/>
                <w:szCs w:val="20"/>
              </w:rPr>
              <w:t xml:space="preserve">Тип подключения, интерфейс: </w:t>
            </w:r>
            <w:r w:rsidRPr="002B1F5F">
              <w:rPr>
                <w:iCs/>
                <w:color w:val="000000"/>
                <w:sz w:val="20"/>
                <w:szCs w:val="20"/>
              </w:rPr>
              <w:t>проводная, USB;</w:t>
            </w:r>
          </w:p>
          <w:p w:rsidR="002B1F5F" w:rsidRPr="002B1F5F" w:rsidRDefault="002B1F5F" w:rsidP="002B1F5F">
            <w:pPr>
              <w:rPr>
                <w:iCs/>
                <w:color w:val="000000"/>
                <w:sz w:val="20"/>
                <w:szCs w:val="20"/>
              </w:rPr>
            </w:pPr>
            <w:r w:rsidRPr="002B1F5F">
              <w:rPr>
                <w:b/>
                <w:bCs/>
                <w:iCs/>
                <w:color w:val="000000"/>
                <w:sz w:val="20"/>
                <w:szCs w:val="20"/>
              </w:rPr>
              <w:t xml:space="preserve">Конструктивные особенности: </w:t>
            </w:r>
            <w:r w:rsidRPr="002B1F5F">
              <w:rPr>
                <w:iCs/>
                <w:color w:val="000000"/>
                <w:sz w:val="20"/>
                <w:szCs w:val="20"/>
              </w:rPr>
              <w:t>полноразмерная.</w:t>
            </w:r>
          </w:p>
          <w:p w:rsidR="002B1F5F" w:rsidRPr="002B1F5F" w:rsidRDefault="002B1F5F" w:rsidP="002B1F5F">
            <w:pPr>
              <w:rPr>
                <w:iCs/>
                <w:color w:val="000000"/>
                <w:sz w:val="20"/>
                <w:szCs w:val="20"/>
              </w:rPr>
            </w:pPr>
            <w:r w:rsidRPr="002B1F5F">
              <w:rPr>
                <w:b/>
                <w:bCs/>
                <w:iCs/>
                <w:color w:val="000000"/>
                <w:sz w:val="20"/>
                <w:szCs w:val="20"/>
              </w:rPr>
              <w:t xml:space="preserve">Цвет русских и латинских букв: </w:t>
            </w:r>
            <w:r w:rsidRPr="002B1F5F">
              <w:rPr>
                <w:iCs/>
                <w:color w:val="000000"/>
                <w:sz w:val="20"/>
                <w:szCs w:val="20"/>
              </w:rPr>
              <w:t>белые, при черном/сером основном цвете или черные, при белом основном цвете (наклейки; нанесены на клавиатуру заводским способом)</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Мышь</w:t>
            </w:r>
          </w:p>
        </w:tc>
        <w:tc>
          <w:tcPr>
            <w:tcW w:w="8675" w:type="dxa"/>
            <w:shd w:val="clear" w:color="FFFFFF" w:fill="FFFFFF"/>
            <w:vAlign w:val="center"/>
          </w:tcPr>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Основной цвет: </w:t>
            </w:r>
            <w:r w:rsidRPr="002B1F5F">
              <w:rPr>
                <w:rFonts w:eastAsia="Andale Sans UI"/>
                <w:iCs/>
                <w:color w:val="000000"/>
                <w:kern w:val="1"/>
                <w:sz w:val="20"/>
                <w:szCs w:val="20"/>
              </w:rPr>
              <w:t>черный, серый или комбинация указанных цветов;</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Количество кнопок: </w:t>
            </w:r>
            <w:r w:rsidRPr="002B1F5F">
              <w:rPr>
                <w:rFonts w:eastAsia="Andale Sans UI"/>
                <w:iCs/>
                <w:color w:val="000000"/>
                <w:kern w:val="1"/>
                <w:sz w:val="20"/>
                <w:szCs w:val="20"/>
              </w:rPr>
              <w:t>не менее 3;</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Колесо прокрутки:</w:t>
            </w:r>
            <w:r w:rsidRPr="002B1F5F">
              <w:rPr>
                <w:rFonts w:eastAsia="Andale Sans UI"/>
                <w:iCs/>
                <w:color w:val="000000"/>
                <w:kern w:val="1"/>
                <w:sz w:val="20"/>
                <w:szCs w:val="20"/>
              </w:rPr>
              <w:t xml:space="preserve"> наличие;</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Тип сенсора мыши: </w:t>
            </w:r>
            <w:r w:rsidRPr="002B1F5F">
              <w:rPr>
                <w:rFonts w:eastAsia="Andale Sans UI"/>
                <w:iCs/>
                <w:color w:val="000000"/>
                <w:kern w:val="1"/>
                <w:sz w:val="20"/>
                <w:szCs w:val="20"/>
              </w:rPr>
              <w:t>оптический лазерный или светодиодный;</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Разрешение датчика: </w:t>
            </w:r>
            <w:r w:rsidRPr="002B1F5F">
              <w:rPr>
                <w:rFonts w:eastAsia="Andale Sans UI"/>
                <w:iCs/>
                <w:color w:val="000000"/>
                <w:kern w:val="1"/>
                <w:sz w:val="20"/>
                <w:szCs w:val="20"/>
              </w:rPr>
              <w:t>не менее 800 dpi;</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Тип подключения, интерфейс: </w:t>
            </w:r>
            <w:r w:rsidRPr="002B1F5F">
              <w:rPr>
                <w:rFonts w:eastAsia="Andale Sans UI"/>
                <w:iCs/>
                <w:color w:val="000000"/>
                <w:kern w:val="1"/>
                <w:sz w:val="20"/>
                <w:szCs w:val="20"/>
              </w:rPr>
              <w:t>проводная, USB;</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Фактическая длина устройства:</w:t>
            </w:r>
            <w:r w:rsidRPr="002B1F5F">
              <w:rPr>
                <w:rFonts w:eastAsia="Andale Sans UI"/>
                <w:iCs/>
                <w:color w:val="000000"/>
                <w:kern w:val="1"/>
                <w:sz w:val="20"/>
                <w:szCs w:val="20"/>
              </w:rPr>
              <w:t xml:space="preserve"> не менее 110 мм</w:t>
            </w:r>
          </w:p>
          <w:p w:rsidR="002B1F5F" w:rsidRDefault="002B1F5F" w:rsidP="002B1F5F">
            <w:pPr>
              <w:rPr>
                <w:color w:val="000000"/>
                <w:sz w:val="22"/>
                <w:szCs w:val="22"/>
              </w:rPr>
            </w:pPr>
            <w:r w:rsidRPr="002B1F5F">
              <w:rPr>
                <w:rFonts w:eastAsia="Andale Sans UI"/>
                <w:iCs/>
                <w:color w:val="000000"/>
                <w:kern w:val="1"/>
                <w:sz w:val="20"/>
                <w:szCs w:val="20"/>
              </w:rPr>
              <w:t>Симметричная форма (подходит для левшей и правшей).</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Аккумуляторная батарея для ИБП</w:t>
            </w:r>
          </w:p>
        </w:tc>
        <w:tc>
          <w:tcPr>
            <w:tcW w:w="8675" w:type="dxa"/>
            <w:shd w:val="clear" w:color="FFFFFF" w:fill="FFFFFF"/>
            <w:vAlign w:val="center"/>
          </w:tcPr>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Емкость: </w:t>
            </w:r>
            <w:r w:rsidRPr="002B1F5F">
              <w:rPr>
                <w:rFonts w:eastAsia="Andale Sans UI"/>
                <w:iCs/>
                <w:color w:val="000000"/>
                <w:kern w:val="1"/>
                <w:sz w:val="20"/>
                <w:szCs w:val="20"/>
              </w:rPr>
              <w:t>не менее 7.2 А*ч</w:t>
            </w:r>
          </w:p>
          <w:p w:rsidR="002B1F5F" w:rsidRDefault="002B1F5F" w:rsidP="002B1F5F">
            <w:pPr>
              <w:rPr>
                <w:color w:val="000000"/>
                <w:sz w:val="22"/>
                <w:szCs w:val="22"/>
              </w:rPr>
            </w:pPr>
            <w:r w:rsidRPr="002B1F5F">
              <w:rPr>
                <w:rFonts w:eastAsia="Andale Sans UI"/>
                <w:b/>
                <w:bCs/>
                <w:iCs/>
                <w:color w:val="000000"/>
                <w:kern w:val="1"/>
                <w:sz w:val="20"/>
                <w:szCs w:val="20"/>
              </w:rPr>
              <w:t xml:space="preserve">Напряжение: </w:t>
            </w:r>
            <w:r w:rsidRPr="002B1F5F">
              <w:rPr>
                <w:rFonts w:eastAsia="Andale Sans UI"/>
                <w:iCs/>
                <w:color w:val="000000"/>
                <w:kern w:val="1"/>
                <w:sz w:val="20"/>
                <w:szCs w:val="20"/>
              </w:rPr>
              <w:t>12 В</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Вентилятор для корпуса системного блока</w:t>
            </w:r>
          </w:p>
        </w:tc>
        <w:tc>
          <w:tcPr>
            <w:tcW w:w="8675" w:type="dxa"/>
            <w:shd w:val="clear" w:color="FFFFFF" w:fill="FFFFFF"/>
            <w:vAlign w:val="center"/>
          </w:tcPr>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Размер вентилятора: </w:t>
            </w:r>
            <w:r w:rsidRPr="002B1F5F">
              <w:rPr>
                <w:rFonts w:eastAsia="Andale Sans UI"/>
                <w:iCs/>
                <w:color w:val="000000"/>
                <w:kern w:val="1"/>
                <w:sz w:val="20"/>
                <w:szCs w:val="20"/>
              </w:rPr>
              <w:t>80 x 80 мм</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Тип разъема питания вентилятора: </w:t>
            </w:r>
            <w:r w:rsidRPr="002B1F5F">
              <w:rPr>
                <w:rFonts w:eastAsia="Andale Sans UI"/>
                <w:iCs/>
                <w:color w:val="000000"/>
                <w:kern w:val="1"/>
                <w:sz w:val="20"/>
                <w:szCs w:val="20"/>
              </w:rPr>
              <w:t>4-pin</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Максимальная скорость вращения: </w:t>
            </w:r>
            <w:r w:rsidRPr="002B1F5F">
              <w:rPr>
                <w:rFonts w:eastAsia="Andale Sans UI"/>
                <w:iCs/>
                <w:color w:val="000000"/>
                <w:kern w:val="1"/>
                <w:sz w:val="20"/>
                <w:szCs w:val="20"/>
              </w:rPr>
              <w:t>не менее 2000 об/мин</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Максимальный уровень шума: </w:t>
            </w:r>
            <w:r w:rsidRPr="002B1F5F">
              <w:rPr>
                <w:rFonts w:eastAsia="Andale Sans UI"/>
                <w:iCs/>
                <w:color w:val="000000"/>
                <w:kern w:val="1"/>
                <w:sz w:val="20"/>
                <w:szCs w:val="20"/>
              </w:rPr>
              <w:t>не более 22.5 дБ</w:t>
            </w:r>
          </w:p>
        </w:tc>
      </w:tr>
      <w:tr w:rsidR="002B1F5F" w:rsidRPr="00CE1CC2" w:rsidTr="002B1F5F">
        <w:tc>
          <w:tcPr>
            <w:tcW w:w="757" w:type="dxa"/>
            <w:shd w:val="clear" w:color="auto" w:fill="auto"/>
            <w:vAlign w:val="center"/>
          </w:tcPr>
          <w:p w:rsidR="002B1F5F" w:rsidRPr="004F08CE" w:rsidRDefault="002B1F5F" w:rsidP="002B1F5F">
            <w:pPr>
              <w:pStyle w:val="aff2"/>
              <w:numPr>
                <w:ilvl w:val="0"/>
                <w:numId w:val="38"/>
              </w:numPr>
              <w:snapToGrid w:val="0"/>
              <w:jc w:val="center"/>
              <w:rPr>
                <w:sz w:val="22"/>
                <w:szCs w:val="22"/>
              </w:rPr>
            </w:pPr>
          </w:p>
        </w:tc>
        <w:tc>
          <w:tcPr>
            <w:tcW w:w="5358" w:type="dxa"/>
            <w:shd w:val="clear" w:color="auto" w:fill="auto"/>
            <w:vAlign w:val="center"/>
          </w:tcPr>
          <w:p w:rsidR="002B1F5F" w:rsidRDefault="002B1F5F" w:rsidP="002B1F5F">
            <w:r>
              <w:t xml:space="preserve">Сканер штрих-кода </w:t>
            </w:r>
            <w:proofErr w:type="spellStart"/>
            <w:r>
              <w:t>Newland</w:t>
            </w:r>
            <w:proofErr w:type="spellEnd"/>
            <w:r>
              <w:t xml:space="preserve"> HR20 </w:t>
            </w:r>
            <w:proofErr w:type="spellStart"/>
            <w:r>
              <w:t>Panga</w:t>
            </w:r>
            <w:proofErr w:type="spellEnd"/>
            <w:r>
              <w:t xml:space="preserve"> или эквивалент*</w:t>
            </w:r>
          </w:p>
        </w:tc>
        <w:tc>
          <w:tcPr>
            <w:tcW w:w="8675" w:type="dxa"/>
            <w:shd w:val="clear" w:color="FFFFFF" w:fill="FFFFFF"/>
            <w:vAlign w:val="center"/>
          </w:tcPr>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Вид: </w:t>
            </w:r>
            <w:r w:rsidRPr="002B1F5F">
              <w:rPr>
                <w:rFonts w:eastAsia="Andale Sans UI"/>
                <w:iCs/>
                <w:color w:val="000000"/>
                <w:kern w:val="1"/>
                <w:sz w:val="20"/>
                <w:szCs w:val="20"/>
              </w:rPr>
              <w:t>лазерный</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Исполнение:</w:t>
            </w:r>
            <w:r w:rsidRPr="002B1F5F">
              <w:rPr>
                <w:rFonts w:eastAsia="Andale Sans UI"/>
                <w:iCs/>
                <w:color w:val="000000"/>
                <w:kern w:val="1"/>
                <w:sz w:val="20"/>
                <w:szCs w:val="20"/>
              </w:rPr>
              <w:t xml:space="preserve"> ручной</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Максимальное разрешение: </w:t>
            </w:r>
            <w:r w:rsidRPr="002B1F5F">
              <w:rPr>
                <w:rFonts w:eastAsia="Andale Sans UI"/>
                <w:iCs/>
                <w:color w:val="000000"/>
                <w:kern w:val="1"/>
                <w:sz w:val="20"/>
                <w:szCs w:val="20"/>
              </w:rPr>
              <w:t>не менее 4 mil</w:t>
            </w:r>
          </w:p>
          <w:p w:rsidR="002B1F5F" w:rsidRPr="002B1F5F" w:rsidRDefault="002B1F5F" w:rsidP="002B1F5F">
            <w:pPr>
              <w:widowControl w:val="0"/>
              <w:suppressAutoHyphens/>
              <w:rPr>
                <w:rFonts w:eastAsia="Andale Sans UI"/>
                <w:iCs/>
                <w:color w:val="000000"/>
                <w:kern w:val="1"/>
                <w:sz w:val="20"/>
                <w:szCs w:val="20"/>
              </w:rPr>
            </w:pPr>
            <w:r w:rsidRPr="002B1F5F">
              <w:rPr>
                <w:rFonts w:eastAsia="Andale Sans UI"/>
                <w:b/>
                <w:bCs/>
                <w:iCs/>
                <w:color w:val="000000"/>
                <w:kern w:val="1"/>
                <w:sz w:val="20"/>
                <w:szCs w:val="20"/>
              </w:rPr>
              <w:t xml:space="preserve">Скорость сканирования: </w:t>
            </w:r>
            <w:r w:rsidRPr="002B1F5F">
              <w:rPr>
                <w:rFonts w:eastAsia="Andale Sans UI"/>
                <w:iCs/>
                <w:color w:val="000000"/>
                <w:kern w:val="1"/>
                <w:sz w:val="20"/>
                <w:szCs w:val="20"/>
              </w:rPr>
              <w:t>не менее 60 скан/сек</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Декодируемые коды: </w:t>
            </w:r>
            <w:r w:rsidRPr="002B1F5F">
              <w:rPr>
                <w:rFonts w:eastAsia="Andale Sans UI"/>
                <w:iCs/>
                <w:color w:val="000000"/>
                <w:kern w:val="1"/>
                <w:sz w:val="20"/>
                <w:szCs w:val="20"/>
              </w:rPr>
              <w:t>стандартные линейные коды, 2D, 1D</w:t>
            </w:r>
          </w:p>
          <w:p w:rsidR="002B1F5F" w:rsidRPr="002B1F5F" w:rsidRDefault="002B1F5F" w:rsidP="002B1F5F">
            <w:pPr>
              <w:widowControl w:val="0"/>
              <w:suppressAutoHyphens/>
              <w:rPr>
                <w:rFonts w:eastAsia="Andale Sans UI"/>
                <w:b/>
                <w:bCs/>
                <w:iCs/>
                <w:color w:val="000000"/>
                <w:kern w:val="1"/>
                <w:sz w:val="20"/>
                <w:szCs w:val="20"/>
              </w:rPr>
            </w:pPr>
            <w:r w:rsidRPr="002B1F5F">
              <w:rPr>
                <w:rFonts w:eastAsia="Andale Sans UI"/>
                <w:b/>
                <w:bCs/>
                <w:iCs/>
                <w:color w:val="000000"/>
                <w:kern w:val="1"/>
                <w:sz w:val="20"/>
                <w:szCs w:val="20"/>
              </w:rPr>
              <w:t xml:space="preserve">Интерфейсы: </w:t>
            </w:r>
            <w:r w:rsidRPr="002B1F5F">
              <w:rPr>
                <w:rFonts w:eastAsia="Andale Sans UI"/>
                <w:iCs/>
                <w:color w:val="000000"/>
                <w:kern w:val="1"/>
                <w:sz w:val="20"/>
                <w:szCs w:val="20"/>
              </w:rPr>
              <w:t>RS232, USB</w:t>
            </w:r>
          </w:p>
          <w:p w:rsidR="002B1F5F" w:rsidRDefault="002B1F5F" w:rsidP="002B1F5F">
            <w:pPr>
              <w:rPr>
                <w:color w:val="000000"/>
                <w:sz w:val="22"/>
                <w:szCs w:val="22"/>
              </w:rPr>
            </w:pPr>
            <w:r w:rsidRPr="002B1F5F">
              <w:rPr>
                <w:rFonts w:eastAsia="Andale Sans UI"/>
                <w:b/>
                <w:bCs/>
                <w:iCs/>
                <w:color w:val="000000"/>
                <w:kern w:val="1"/>
                <w:sz w:val="20"/>
                <w:szCs w:val="20"/>
              </w:rPr>
              <w:t xml:space="preserve">Подключение к ПК: </w:t>
            </w:r>
            <w:r w:rsidRPr="002B1F5F">
              <w:rPr>
                <w:rFonts w:eastAsia="Andale Sans UI"/>
                <w:iCs/>
                <w:color w:val="000000"/>
                <w:kern w:val="1"/>
                <w:sz w:val="20"/>
                <w:szCs w:val="20"/>
              </w:rPr>
              <w:t>проводное</w:t>
            </w:r>
          </w:p>
        </w:tc>
      </w:tr>
      <w:tr w:rsidR="00532B0D" w:rsidRPr="00CE1CC2" w:rsidTr="00803ACB">
        <w:tc>
          <w:tcPr>
            <w:tcW w:w="757" w:type="dxa"/>
            <w:shd w:val="clear" w:color="auto" w:fill="auto"/>
            <w:vAlign w:val="center"/>
          </w:tcPr>
          <w:p w:rsidR="00532B0D" w:rsidRPr="004F08CE" w:rsidRDefault="00532B0D" w:rsidP="00532B0D">
            <w:pPr>
              <w:pStyle w:val="aff2"/>
              <w:numPr>
                <w:ilvl w:val="0"/>
                <w:numId w:val="38"/>
              </w:numPr>
              <w:snapToGrid w:val="0"/>
              <w:jc w:val="center"/>
              <w:rPr>
                <w:sz w:val="22"/>
                <w:szCs w:val="22"/>
              </w:rPr>
            </w:pPr>
          </w:p>
        </w:tc>
        <w:tc>
          <w:tcPr>
            <w:tcW w:w="5358" w:type="dxa"/>
            <w:shd w:val="clear" w:color="auto" w:fill="auto"/>
            <w:vAlign w:val="center"/>
          </w:tcPr>
          <w:p w:rsidR="00532B0D" w:rsidRDefault="00532B0D" w:rsidP="00532B0D">
            <w:r>
              <w:t xml:space="preserve">Чернила для принтера </w:t>
            </w:r>
            <w:proofErr w:type="spellStart"/>
            <w:r>
              <w:t>Canon</w:t>
            </w:r>
            <w:proofErr w:type="spellEnd"/>
            <w:r>
              <w:t xml:space="preserve"> G1411 (цветные)</w:t>
            </w:r>
          </w:p>
        </w:tc>
        <w:tc>
          <w:tcPr>
            <w:tcW w:w="8675" w:type="dxa"/>
            <w:shd w:val="clear" w:color="auto" w:fill="auto"/>
          </w:tcPr>
          <w:p w:rsidR="00532B0D" w:rsidRPr="00532B0D" w:rsidRDefault="00532B0D" w:rsidP="00532B0D">
            <w:pPr>
              <w:rPr>
                <w:iCs/>
                <w:color w:val="000000"/>
                <w:sz w:val="22"/>
                <w:szCs w:val="22"/>
                <w:lang w:val="en-US"/>
              </w:rPr>
            </w:pPr>
            <w:r w:rsidRPr="00532B0D">
              <w:rPr>
                <w:iCs/>
                <w:color w:val="000000"/>
                <w:sz w:val="22"/>
                <w:szCs w:val="22"/>
                <w:lang w:val="en-US"/>
              </w:rPr>
              <w:t xml:space="preserve">Canon GI-490 C – 1 </w:t>
            </w:r>
            <w:proofErr w:type="spellStart"/>
            <w:r w:rsidRPr="00532B0D">
              <w:rPr>
                <w:iCs/>
                <w:color w:val="000000"/>
                <w:sz w:val="22"/>
                <w:szCs w:val="22"/>
              </w:rPr>
              <w:t>шт</w:t>
            </w:r>
            <w:proofErr w:type="spellEnd"/>
            <w:r w:rsidRPr="00532B0D">
              <w:rPr>
                <w:iCs/>
                <w:color w:val="000000"/>
                <w:sz w:val="22"/>
                <w:szCs w:val="22"/>
                <w:lang w:val="en-US"/>
              </w:rPr>
              <w:t>.</w:t>
            </w:r>
          </w:p>
          <w:p w:rsidR="00532B0D" w:rsidRPr="00532B0D" w:rsidRDefault="00532B0D" w:rsidP="00532B0D">
            <w:pPr>
              <w:rPr>
                <w:iCs/>
                <w:color w:val="000000"/>
                <w:sz w:val="22"/>
                <w:szCs w:val="22"/>
                <w:lang w:val="en-US"/>
              </w:rPr>
            </w:pPr>
            <w:r w:rsidRPr="00532B0D">
              <w:rPr>
                <w:iCs/>
                <w:color w:val="000000"/>
                <w:sz w:val="22"/>
                <w:szCs w:val="22"/>
                <w:lang w:val="en-US"/>
              </w:rPr>
              <w:t xml:space="preserve">Canon GI-490 M – 1 </w:t>
            </w:r>
            <w:proofErr w:type="spellStart"/>
            <w:r w:rsidRPr="00532B0D">
              <w:rPr>
                <w:iCs/>
                <w:color w:val="000000"/>
                <w:sz w:val="22"/>
                <w:szCs w:val="22"/>
              </w:rPr>
              <w:t>шт</w:t>
            </w:r>
            <w:proofErr w:type="spellEnd"/>
            <w:r w:rsidRPr="00532B0D">
              <w:rPr>
                <w:iCs/>
                <w:color w:val="000000"/>
                <w:sz w:val="22"/>
                <w:szCs w:val="22"/>
                <w:lang w:val="en-US"/>
              </w:rPr>
              <w:t>.</w:t>
            </w:r>
          </w:p>
          <w:p w:rsidR="00532B0D" w:rsidRPr="00532B0D" w:rsidRDefault="00532B0D" w:rsidP="00532B0D">
            <w:pPr>
              <w:rPr>
                <w:b/>
                <w:bCs/>
                <w:iCs/>
                <w:color w:val="000000"/>
                <w:sz w:val="20"/>
                <w:szCs w:val="20"/>
              </w:rPr>
            </w:pPr>
            <w:proofErr w:type="spellStart"/>
            <w:r w:rsidRPr="00532B0D">
              <w:rPr>
                <w:iCs/>
                <w:color w:val="000000"/>
                <w:sz w:val="22"/>
                <w:szCs w:val="22"/>
              </w:rPr>
              <w:t>Canon</w:t>
            </w:r>
            <w:proofErr w:type="spellEnd"/>
            <w:r w:rsidRPr="00532B0D">
              <w:rPr>
                <w:iCs/>
                <w:color w:val="000000"/>
                <w:sz w:val="22"/>
                <w:szCs w:val="22"/>
              </w:rPr>
              <w:t xml:space="preserve"> GI-490 Y</w:t>
            </w:r>
            <w:r w:rsidRPr="00532B0D">
              <w:rPr>
                <w:iCs/>
                <w:color w:val="000000"/>
                <w:sz w:val="22"/>
                <w:szCs w:val="22"/>
                <w:lang w:val="en-US"/>
              </w:rPr>
              <w:t xml:space="preserve"> –</w:t>
            </w:r>
            <w:r w:rsidRPr="00532B0D">
              <w:rPr>
                <w:iCs/>
                <w:color w:val="000000"/>
                <w:sz w:val="22"/>
                <w:szCs w:val="22"/>
              </w:rPr>
              <w:t xml:space="preserve"> 1 шт.</w:t>
            </w:r>
          </w:p>
        </w:tc>
      </w:tr>
      <w:tr w:rsidR="00532B0D" w:rsidRPr="00CE1CC2" w:rsidTr="00803ACB">
        <w:tc>
          <w:tcPr>
            <w:tcW w:w="757" w:type="dxa"/>
            <w:shd w:val="clear" w:color="auto" w:fill="auto"/>
            <w:vAlign w:val="center"/>
          </w:tcPr>
          <w:p w:rsidR="00532B0D" w:rsidRPr="004F08CE" w:rsidRDefault="00532B0D" w:rsidP="00532B0D">
            <w:pPr>
              <w:pStyle w:val="aff2"/>
              <w:numPr>
                <w:ilvl w:val="0"/>
                <w:numId w:val="38"/>
              </w:numPr>
              <w:snapToGrid w:val="0"/>
              <w:jc w:val="center"/>
              <w:rPr>
                <w:sz w:val="22"/>
                <w:szCs w:val="22"/>
              </w:rPr>
            </w:pPr>
          </w:p>
        </w:tc>
        <w:tc>
          <w:tcPr>
            <w:tcW w:w="5358" w:type="dxa"/>
            <w:shd w:val="clear" w:color="auto" w:fill="auto"/>
            <w:vAlign w:val="center"/>
          </w:tcPr>
          <w:p w:rsidR="00532B0D" w:rsidRDefault="00532B0D" w:rsidP="00532B0D">
            <w:r>
              <w:t xml:space="preserve">Тонер </w:t>
            </w:r>
            <w:proofErr w:type="spellStart"/>
            <w:r>
              <w:t>Pantum</w:t>
            </w:r>
            <w:proofErr w:type="spellEnd"/>
            <w:r>
              <w:t xml:space="preserve"> PC-211RB + чип</w:t>
            </w:r>
          </w:p>
        </w:tc>
        <w:tc>
          <w:tcPr>
            <w:tcW w:w="8675" w:type="dxa"/>
            <w:shd w:val="clear" w:color="auto" w:fill="auto"/>
            <w:vAlign w:val="center"/>
          </w:tcPr>
          <w:p w:rsidR="00532B0D" w:rsidRDefault="00532B0D" w:rsidP="00532B0D">
            <w:r>
              <w:t xml:space="preserve">Тонер </w:t>
            </w:r>
            <w:proofErr w:type="spellStart"/>
            <w:r>
              <w:t>Pantum</w:t>
            </w:r>
            <w:proofErr w:type="spellEnd"/>
            <w:r>
              <w:t xml:space="preserve"> PC-211RB + чип</w:t>
            </w:r>
          </w:p>
        </w:tc>
      </w:tr>
      <w:tr w:rsidR="00532B0D" w:rsidRPr="00CE1CC2" w:rsidTr="002B1F5F">
        <w:tc>
          <w:tcPr>
            <w:tcW w:w="757" w:type="dxa"/>
            <w:shd w:val="clear" w:color="auto" w:fill="auto"/>
            <w:vAlign w:val="center"/>
          </w:tcPr>
          <w:p w:rsidR="00532B0D" w:rsidRPr="004F08CE" w:rsidRDefault="00532B0D" w:rsidP="00532B0D">
            <w:pPr>
              <w:pStyle w:val="aff2"/>
              <w:numPr>
                <w:ilvl w:val="0"/>
                <w:numId w:val="38"/>
              </w:numPr>
              <w:snapToGrid w:val="0"/>
              <w:jc w:val="center"/>
              <w:rPr>
                <w:sz w:val="22"/>
                <w:szCs w:val="22"/>
              </w:rPr>
            </w:pPr>
          </w:p>
        </w:tc>
        <w:tc>
          <w:tcPr>
            <w:tcW w:w="5358" w:type="dxa"/>
            <w:shd w:val="clear" w:color="auto" w:fill="auto"/>
            <w:vAlign w:val="center"/>
          </w:tcPr>
          <w:p w:rsidR="00532B0D" w:rsidRDefault="00532B0D" w:rsidP="00532B0D">
            <w:r>
              <w:t xml:space="preserve">Проектор </w:t>
            </w:r>
            <w:proofErr w:type="spellStart"/>
            <w:r>
              <w:t>Acer</w:t>
            </w:r>
            <w:proofErr w:type="spellEnd"/>
            <w:r>
              <w:t xml:space="preserve"> H6531BD или эквивалент*</w:t>
            </w:r>
          </w:p>
        </w:tc>
        <w:tc>
          <w:tcPr>
            <w:tcW w:w="8675" w:type="dxa"/>
            <w:shd w:val="clear" w:color="FFFFFF" w:fill="FFFFFF"/>
            <w:vAlign w:val="center"/>
          </w:tcPr>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Основной цвет: белый</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Проекционная технология: DLP</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Разрешение: не менее 1920x1080</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Соотношение сторон: 4:3</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Поддержка 3D: есть</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Световой поток: не менее 3500 лм</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rPr>
              <w:t>Контрастность: не менее 10000:1</w:t>
            </w:r>
          </w:p>
          <w:p w:rsidR="00532B0D" w:rsidRPr="00532B0D" w:rsidRDefault="00532B0D" w:rsidP="00532B0D">
            <w:pPr>
              <w:widowControl w:val="0"/>
              <w:suppressAutoHyphens/>
              <w:rPr>
                <w:rFonts w:eastAsia="Andale Sans UI"/>
                <w:iCs/>
                <w:color w:val="000000"/>
                <w:kern w:val="1"/>
                <w:sz w:val="20"/>
                <w:szCs w:val="20"/>
              </w:rPr>
            </w:pPr>
            <w:r w:rsidRPr="00532B0D">
              <w:rPr>
                <w:rFonts w:eastAsia="Andale Sans UI"/>
                <w:iCs/>
                <w:color w:val="000000"/>
                <w:kern w:val="1"/>
                <w:sz w:val="20"/>
                <w:szCs w:val="20"/>
                <w:lang w:val="en-US"/>
              </w:rPr>
              <w:t>Zoom</w:t>
            </w:r>
            <w:r w:rsidRPr="00532B0D">
              <w:rPr>
                <w:rFonts w:eastAsia="Andale Sans UI"/>
                <w:iCs/>
                <w:color w:val="000000"/>
                <w:kern w:val="1"/>
                <w:sz w:val="20"/>
                <w:szCs w:val="20"/>
              </w:rPr>
              <w:t xml:space="preserve">-объектив: не менее </w:t>
            </w:r>
            <w:r w:rsidRPr="00532B0D">
              <w:rPr>
                <w:rFonts w:eastAsia="Andale Sans UI"/>
                <w:iCs/>
                <w:color w:val="000000"/>
                <w:kern w:val="1"/>
                <w:sz w:val="20"/>
                <w:szCs w:val="20"/>
                <w:lang w:val="en-US"/>
              </w:rPr>
              <w:t>x</w:t>
            </w:r>
            <w:r w:rsidRPr="00532B0D">
              <w:rPr>
                <w:rFonts w:eastAsia="Andale Sans UI"/>
                <w:iCs/>
                <w:color w:val="000000"/>
                <w:kern w:val="1"/>
                <w:sz w:val="20"/>
                <w:szCs w:val="20"/>
              </w:rPr>
              <w:t>1.1</w:t>
            </w:r>
          </w:p>
          <w:p w:rsidR="00532B0D" w:rsidRDefault="00532B0D" w:rsidP="00532B0D">
            <w:pPr>
              <w:rPr>
                <w:color w:val="000000"/>
                <w:sz w:val="22"/>
                <w:szCs w:val="22"/>
              </w:rPr>
            </w:pPr>
            <w:r w:rsidRPr="00532B0D">
              <w:rPr>
                <w:rFonts w:eastAsia="Andale Sans UI"/>
                <w:iCs/>
                <w:color w:val="000000"/>
                <w:kern w:val="1"/>
                <w:sz w:val="20"/>
                <w:szCs w:val="20"/>
              </w:rPr>
              <w:t>Видео входы: VGA, HDMI</w:t>
            </w:r>
          </w:p>
        </w:tc>
      </w:tr>
    </w:tbl>
    <w:p w:rsidR="00E93AF5" w:rsidRDefault="00E93AF5" w:rsidP="00E16920">
      <w:pPr>
        <w:ind w:firstLine="708"/>
        <w:contextualSpacing/>
        <w:rPr>
          <w:sz w:val="22"/>
          <w:szCs w:val="22"/>
        </w:rPr>
      </w:pPr>
    </w:p>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proofErr w:type="gramStart"/>
            <w:r w:rsidRPr="00E93AF5">
              <w:t>Сроки  поставки</w:t>
            </w:r>
            <w:proofErr w:type="gramEnd"/>
          </w:p>
          <w:p w:rsidR="00E93AF5" w:rsidRPr="00E93AF5" w:rsidRDefault="002B1F5F" w:rsidP="00E93AF5">
            <w:pPr>
              <w:rPr>
                <w:color w:val="000000"/>
              </w:rPr>
            </w:pPr>
            <w:r>
              <w:rPr>
                <w:color w:val="000000"/>
              </w:rPr>
              <w:t>Гарантийный срок</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4F08CE" w:rsidRPr="00803ACB" w:rsidRDefault="00E93AF5" w:rsidP="004F08CE">
            <w:pPr>
              <w:widowControl w:val="0"/>
              <w:suppressAutoHyphens/>
              <w:rPr>
                <w:rFonts w:eastAsia="Andale Sans UI"/>
                <w:bCs/>
                <w:kern w:val="1"/>
              </w:rPr>
            </w:pPr>
            <w:r w:rsidRPr="00803ACB">
              <w:rPr>
                <w:rFonts w:eastAsia="Andale Sans UI"/>
                <w:bCs/>
                <w:kern w:val="1"/>
              </w:rPr>
              <w:t>Срок поставки –</w:t>
            </w:r>
            <w:r w:rsidR="004F08CE" w:rsidRPr="00803ACB">
              <w:t xml:space="preserve"> о</w:t>
            </w:r>
            <w:r w:rsidR="004F08CE" w:rsidRPr="00803ACB">
              <w:rPr>
                <w:rFonts w:eastAsia="Andale Sans UI"/>
                <w:bCs/>
                <w:kern w:val="1"/>
              </w:rPr>
              <w:t>бъем и срок поставки каждой партии Товара определяется</w:t>
            </w:r>
          </w:p>
          <w:p w:rsidR="00E93AF5" w:rsidRPr="00803ACB" w:rsidRDefault="004F08CE" w:rsidP="004F08CE">
            <w:pPr>
              <w:widowControl w:val="0"/>
              <w:suppressAutoHyphens/>
              <w:rPr>
                <w:rFonts w:eastAsia="Andale Sans UI"/>
                <w:bCs/>
                <w:kern w:val="1"/>
              </w:rPr>
            </w:pPr>
            <w:r w:rsidRPr="00803ACB">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2B1F5F" w:rsidRPr="00803ACB" w:rsidRDefault="002B1F5F" w:rsidP="004F08CE">
            <w:pPr>
              <w:widowControl w:val="0"/>
              <w:suppressAutoHyphens/>
              <w:rPr>
                <w:rFonts w:eastAsia="Andale Sans UI"/>
                <w:bCs/>
                <w:kern w:val="1"/>
              </w:rPr>
            </w:pPr>
            <w:r w:rsidRPr="00803ACB">
              <w:rPr>
                <w:rFonts w:eastAsia="Andale Sans UI"/>
                <w:bCs/>
                <w:kern w:val="1"/>
              </w:rPr>
              <w:t>Гарантийный срок не менее 12 мес.</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803ACB" w:rsidRDefault="00E93AF5" w:rsidP="00E93AF5">
            <w:pPr>
              <w:rPr>
                <w:b/>
                <w:bCs/>
              </w:rPr>
            </w:pPr>
            <w:r w:rsidRPr="00803ACB">
              <w:rPr>
                <w:b/>
                <w:bCs/>
              </w:rPr>
              <w:t>5. Форма, сроки и порядок оплаты</w:t>
            </w:r>
          </w:p>
        </w:tc>
      </w:tr>
      <w:tr w:rsidR="00E93AF5"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E93AF5" w:rsidRPr="00803ACB" w:rsidRDefault="00483B9A" w:rsidP="00E93AF5">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FD7D18" w:rsidRPr="00803ACB" w:rsidRDefault="00FD7D18" w:rsidP="00E93AF5">
            <w:pPr>
              <w:jc w:val="both"/>
            </w:pP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lastRenderedPageBreak/>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68" w:rsidRDefault="00FD0D68">
      <w:r>
        <w:separator/>
      </w:r>
    </w:p>
  </w:endnote>
  <w:endnote w:type="continuationSeparator" w:id="0">
    <w:p w:rsidR="00FD0D68" w:rsidRDefault="00FD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CB" w:rsidRDefault="00803AC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3ACB" w:rsidRDefault="00803A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CB" w:rsidRDefault="00803AC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03ACB" w:rsidRDefault="00803A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68" w:rsidRDefault="00FD0D68">
      <w:r>
        <w:separator/>
      </w:r>
    </w:p>
  </w:footnote>
  <w:footnote w:type="continuationSeparator" w:id="0">
    <w:p w:rsidR="00FD0D68" w:rsidRDefault="00FD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4"/>
  </w:num>
  <w:num w:numId="3">
    <w:abstractNumId w:val="33"/>
  </w:num>
  <w:num w:numId="4">
    <w:abstractNumId w:val="11"/>
  </w:num>
  <w:num w:numId="5">
    <w:abstractNumId w:val="0"/>
  </w:num>
  <w:num w:numId="6">
    <w:abstractNumId w:val="21"/>
  </w:num>
  <w:num w:numId="7">
    <w:abstractNumId w:val="22"/>
  </w:num>
  <w:num w:numId="8">
    <w:abstractNumId w:val="23"/>
  </w:num>
  <w:num w:numId="9">
    <w:abstractNumId w:val="26"/>
  </w:num>
  <w:num w:numId="10">
    <w:abstractNumId w:val="29"/>
  </w:num>
  <w:num w:numId="11">
    <w:abstractNumId w:val="19"/>
  </w:num>
  <w:num w:numId="12">
    <w:abstractNumId w:val="32"/>
  </w:num>
  <w:num w:numId="13">
    <w:abstractNumId w:val="2"/>
  </w:num>
  <w:num w:numId="14">
    <w:abstractNumId w:val="17"/>
  </w:num>
  <w:num w:numId="15">
    <w:abstractNumId w:val="18"/>
  </w:num>
  <w:num w:numId="16">
    <w:abstractNumId w:val="13"/>
  </w:num>
  <w:num w:numId="17">
    <w:abstractNumId w:val="27"/>
  </w:num>
  <w:num w:numId="18">
    <w:abstractNumId w:val="15"/>
  </w:num>
  <w:num w:numId="19">
    <w:abstractNumId w:val="35"/>
  </w:num>
  <w:num w:numId="20">
    <w:abstractNumId w:val="8"/>
  </w:num>
  <w:num w:numId="21">
    <w:abstractNumId w:val="37"/>
  </w:num>
  <w:num w:numId="22">
    <w:abstractNumId w:val="28"/>
  </w:num>
  <w:num w:numId="23">
    <w:abstractNumId w:val="16"/>
  </w:num>
  <w:num w:numId="24">
    <w:abstractNumId w:val="36"/>
  </w:num>
  <w:num w:numId="25">
    <w:abstractNumId w:val="12"/>
  </w:num>
  <w:num w:numId="26">
    <w:abstractNumId w:val="3"/>
  </w:num>
  <w:num w:numId="27">
    <w:abstractNumId w:val="9"/>
  </w:num>
  <w:num w:numId="28">
    <w:abstractNumId w:val="24"/>
  </w:num>
  <w:num w:numId="29">
    <w:abstractNumId w:val="10"/>
  </w:num>
  <w:num w:numId="30">
    <w:abstractNumId w:val="20"/>
  </w:num>
  <w:num w:numId="31">
    <w:abstractNumId w:val="31"/>
  </w:num>
  <w:num w:numId="32">
    <w:abstractNumId w:val="14"/>
  </w:num>
  <w:num w:numId="33">
    <w:abstractNumId w:val="7"/>
  </w:num>
  <w:num w:numId="34">
    <w:abstractNumId w:val="6"/>
  </w:num>
  <w:num w:numId="35">
    <w:abstractNumId w:val="30"/>
  </w:num>
  <w:num w:numId="36">
    <w:abstractNumId w:val="1"/>
  </w:num>
  <w:num w:numId="37">
    <w:abstractNumId w:val="4"/>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90535"/>
    <w:rsid w:val="00695B63"/>
    <w:rsid w:val="006A5AE8"/>
    <w:rsid w:val="006A62C5"/>
    <w:rsid w:val="006A6B40"/>
    <w:rsid w:val="006B089A"/>
    <w:rsid w:val="006B2CDB"/>
    <w:rsid w:val="006B404B"/>
    <w:rsid w:val="006B7D02"/>
    <w:rsid w:val="006C06B8"/>
    <w:rsid w:val="006C110A"/>
    <w:rsid w:val="006C5711"/>
    <w:rsid w:val="006E017A"/>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66AF5"/>
    <w:rsid w:val="00D74CAC"/>
    <w:rsid w:val="00D7628E"/>
    <w:rsid w:val="00D90C00"/>
    <w:rsid w:val="00D918DD"/>
    <w:rsid w:val="00D91CDD"/>
    <w:rsid w:val="00D922A1"/>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464C8D"/>
    <w:rsid w:val="00472B2E"/>
    <w:rsid w:val="00866650"/>
    <w:rsid w:val="008D13B1"/>
    <w:rsid w:val="00956FFE"/>
    <w:rsid w:val="009C2D3A"/>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15B72-5EC6-4853-BC8B-F6FFA4D7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11715</Words>
  <Characters>66776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78335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2021-04-05T07:35:00Z</cp:lastPrinted>
  <dcterms:created xsi:type="dcterms:W3CDTF">2021-04-05T07:43:00Z</dcterms:created>
  <dcterms:modified xsi:type="dcterms:W3CDTF">2021-04-05T09:52:00Z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